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F92" w:rsidRPr="00A23897" w:rsidRDefault="00D06F92" w:rsidP="00405EAA">
      <w:pPr>
        <w:spacing w:after="100"/>
        <w:jc w:val="both"/>
        <w:outlineLvl w:val="0"/>
        <w:rPr>
          <w:rFonts w:ascii="Arial" w:hAnsi="Arial" w:cs="Arial"/>
          <w:b/>
          <w:sz w:val="32"/>
          <w:szCs w:val="32"/>
        </w:rPr>
      </w:pPr>
    </w:p>
    <w:p w:rsidR="00FB6D3B" w:rsidRPr="00FB6D3B" w:rsidRDefault="00FB6D3B" w:rsidP="00FB6D3B">
      <w:pPr>
        <w:spacing w:after="100"/>
        <w:jc w:val="both"/>
        <w:rPr>
          <w:rFonts w:ascii="Arial" w:hAnsi="Arial" w:cs="Arial"/>
          <w:b/>
          <w:sz w:val="32"/>
          <w:szCs w:val="32"/>
          <w:lang w:val="en-US"/>
        </w:rPr>
      </w:pPr>
      <w:r w:rsidRPr="00FB6D3B">
        <w:rPr>
          <w:rFonts w:ascii="Arial" w:hAnsi="Arial" w:cs="Arial"/>
          <w:b/>
          <w:sz w:val="32"/>
          <w:szCs w:val="32"/>
          <w:lang w:val="en-US"/>
        </w:rPr>
        <w:t xml:space="preserve">The </w:t>
      </w:r>
      <w:r w:rsidRPr="00FB6D3B">
        <w:rPr>
          <w:rFonts w:ascii="Arial" w:hAnsi="Arial" w:cs="Arial"/>
          <w:b/>
          <w:i/>
          <w:sz w:val="32"/>
          <w:szCs w:val="32"/>
          <w:lang w:val="en-US"/>
        </w:rPr>
        <w:t>Healthy Start</w:t>
      </w:r>
      <w:r w:rsidRPr="00FB6D3B">
        <w:rPr>
          <w:rFonts w:ascii="Arial" w:hAnsi="Arial" w:cs="Arial"/>
          <w:b/>
          <w:sz w:val="32"/>
          <w:szCs w:val="32"/>
          <w:lang w:val="en-US"/>
        </w:rPr>
        <w:t xml:space="preserve"> nutrition education material</w:t>
      </w:r>
    </w:p>
    <w:p w:rsidR="00FB6D3B" w:rsidRPr="00FB6D3B" w:rsidRDefault="00FB6D3B" w:rsidP="00FB6D3B">
      <w:pPr>
        <w:spacing w:after="100"/>
        <w:jc w:val="both"/>
        <w:rPr>
          <w:rFonts w:ascii="Arial" w:hAnsi="Arial" w:cs="Arial"/>
          <w:b/>
          <w:sz w:val="22"/>
          <w:szCs w:val="22"/>
          <w:lang w:val="en-US"/>
        </w:rPr>
      </w:pPr>
      <w:r w:rsidRPr="00FB6D3B">
        <w:rPr>
          <w:rFonts w:ascii="Arial" w:hAnsi="Arial" w:cs="Arial"/>
          <w:b/>
          <w:sz w:val="22"/>
          <w:szCs w:val="22"/>
          <w:lang w:val="en-US"/>
        </w:rPr>
        <w:t>Facilitating the transition into a new food environment for newly resettled immigrants and refugees</w:t>
      </w:r>
    </w:p>
    <w:p w:rsidR="00FB6D3B" w:rsidRDefault="00FB6D3B" w:rsidP="00A23897">
      <w:pPr>
        <w:spacing w:after="100"/>
        <w:jc w:val="both"/>
        <w:rPr>
          <w:rFonts w:ascii="Arial" w:hAnsi="Arial" w:cs="Arial"/>
          <w:sz w:val="22"/>
          <w:szCs w:val="22"/>
        </w:rPr>
      </w:pPr>
    </w:p>
    <w:p w:rsidR="00FB6D3B" w:rsidRPr="00FB6D3B" w:rsidRDefault="00FB6D3B" w:rsidP="00A23897">
      <w:pPr>
        <w:spacing w:after="100"/>
        <w:jc w:val="both"/>
        <w:rPr>
          <w:rFonts w:ascii="Arial" w:hAnsi="Arial" w:cs="Arial"/>
          <w:sz w:val="22"/>
          <w:szCs w:val="22"/>
          <w:lang w:val="nb-NO"/>
        </w:rPr>
      </w:pPr>
      <w:r w:rsidRPr="00FB6D3B">
        <w:rPr>
          <w:rFonts w:ascii="Arial" w:hAnsi="Arial" w:cs="Arial"/>
          <w:sz w:val="22"/>
          <w:szCs w:val="22"/>
          <w:lang w:val="nb-NO"/>
        </w:rPr>
        <w:t>Kjell Sverre Pettersen</w:t>
      </w:r>
      <w:r w:rsidRPr="00FB6D3B">
        <w:rPr>
          <w:rFonts w:ascii="Arial" w:hAnsi="Arial" w:cs="Arial"/>
          <w:sz w:val="22"/>
          <w:szCs w:val="22"/>
          <w:vertAlign w:val="superscript"/>
          <w:lang w:val="nb-NO"/>
        </w:rPr>
        <w:t>1</w:t>
      </w:r>
      <w:r w:rsidRPr="00FB6D3B">
        <w:rPr>
          <w:rFonts w:ascii="Arial" w:hAnsi="Arial" w:cs="Arial"/>
          <w:sz w:val="22"/>
          <w:szCs w:val="22"/>
          <w:lang w:val="nb-NO"/>
        </w:rPr>
        <w:t>, Aud Marit Eriksen</w:t>
      </w:r>
      <w:r w:rsidRPr="00FB6D3B">
        <w:rPr>
          <w:rFonts w:ascii="Arial" w:hAnsi="Arial" w:cs="Arial"/>
          <w:sz w:val="22"/>
          <w:szCs w:val="22"/>
          <w:vertAlign w:val="superscript"/>
          <w:lang w:val="nb-NO"/>
        </w:rPr>
        <w:t>2</w:t>
      </w:r>
      <w:r>
        <w:rPr>
          <w:rFonts w:ascii="Arial" w:hAnsi="Arial" w:cs="Arial"/>
          <w:sz w:val="22"/>
          <w:szCs w:val="22"/>
          <w:lang w:val="nb-NO"/>
        </w:rPr>
        <w:t>,</w:t>
      </w:r>
      <w:r w:rsidRPr="00FB6D3B">
        <w:rPr>
          <w:rFonts w:ascii="Arial" w:hAnsi="Arial" w:cs="Arial"/>
          <w:sz w:val="22"/>
          <w:szCs w:val="22"/>
          <w:lang w:val="nb-NO"/>
        </w:rPr>
        <w:t xml:space="preserve"> Liv Elin Torheim</w:t>
      </w:r>
      <w:r w:rsidRPr="00FB6D3B">
        <w:rPr>
          <w:rFonts w:ascii="Arial" w:hAnsi="Arial" w:cs="Arial"/>
          <w:sz w:val="22"/>
          <w:szCs w:val="22"/>
          <w:vertAlign w:val="superscript"/>
          <w:lang w:val="nb-NO"/>
        </w:rPr>
        <w:t>1</w:t>
      </w:r>
      <w:r w:rsidRPr="00FB6D3B">
        <w:rPr>
          <w:rFonts w:ascii="Arial" w:hAnsi="Arial" w:cs="Arial"/>
          <w:sz w:val="22"/>
          <w:szCs w:val="22"/>
          <w:lang w:val="nb-NO"/>
        </w:rPr>
        <w:t>, Laura Terragni</w:t>
      </w:r>
      <w:r>
        <w:rPr>
          <w:rFonts w:ascii="Arial" w:hAnsi="Arial" w:cs="Arial"/>
          <w:sz w:val="22"/>
          <w:szCs w:val="22"/>
          <w:lang w:val="nb-NO"/>
        </w:rPr>
        <w:t>*</w:t>
      </w:r>
      <w:r w:rsidRPr="00FB6D3B">
        <w:rPr>
          <w:rFonts w:ascii="Arial" w:hAnsi="Arial" w:cs="Arial"/>
          <w:sz w:val="22"/>
          <w:szCs w:val="22"/>
          <w:vertAlign w:val="superscript"/>
          <w:lang w:val="nb-NO"/>
        </w:rPr>
        <w:t>1</w:t>
      </w:r>
    </w:p>
    <w:p w:rsidR="00FB6D3B" w:rsidRDefault="00FB6D3B" w:rsidP="00E07089">
      <w:pPr>
        <w:spacing w:after="100"/>
        <w:jc w:val="both"/>
        <w:rPr>
          <w:rFonts w:ascii="Arial" w:hAnsi="Arial" w:cs="Arial"/>
          <w:sz w:val="22"/>
          <w:szCs w:val="22"/>
          <w:vertAlign w:val="superscript"/>
        </w:rPr>
      </w:pPr>
    </w:p>
    <w:p w:rsidR="00A23897" w:rsidRPr="00FB6D3B" w:rsidRDefault="00FB6D3B" w:rsidP="00E07089">
      <w:pPr>
        <w:spacing w:after="100"/>
        <w:jc w:val="both"/>
        <w:rPr>
          <w:rFonts w:ascii="Arial" w:hAnsi="Arial" w:cs="Arial"/>
          <w:sz w:val="22"/>
          <w:szCs w:val="22"/>
        </w:rPr>
      </w:pPr>
      <w:r w:rsidRPr="00FB6D3B">
        <w:rPr>
          <w:rFonts w:ascii="Arial" w:hAnsi="Arial" w:cs="Arial"/>
          <w:sz w:val="22"/>
          <w:szCs w:val="22"/>
          <w:vertAlign w:val="superscript"/>
        </w:rPr>
        <w:t>1</w:t>
      </w:r>
      <w:r w:rsidRPr="00FB6D3B">
        <w:rPr>
          <w:rFonts w:ascii="Arial" w:hAnsi="Arial" w:cs="Arial"/>
          <w:sz w:val="22"/>
          <w:szCs w:val="22"/>
        </w:rPr>
        <w:t xml:space="preserve">Institute of Nursing and Health Promotion, Department of Health, Oslo and </w:t>
      </w:r>
      <w:proofErr w:type="spellStart"/>
      <w:r w:rsidRPr="00FB6D3B">
        <w:rPr>
          <w:rFonts w:ascii="Arial" w:hAnsi="Arial" w:cs="Arial"/>
          <w:sz w:val="22"/>
          <w:szCs w:val="22"/>
        </w:rPr>
        <w:t>Akershus</w:t>
      </w:r>
      <w:proofErr w:type="spellEnd"/>
      <w:r w:rsidRPr="00FB6D3B">
        <w:rPr>
          <w:rFonts w:ascii="Arial" w:hAnsi="Arial" w:cs="Arial"/>
          <w:sz w:val="22"/>
          <w:szCs w:val="22"/>
        </w:rPr>
        <w:t xml:space="preserve"> University College of Applied Sciences (HiOA), Oslo, Norway</w:t>
      </w:r>
    </w:p>
    <w:p w:rsidR="00FB6D3B" w:rsidRPr="00FB6D3B" w:rsidRDefault="00FB6D3B" w:rsidP="00E07089">
      <w:pPr>
        <w:spacing w:after="100"/>
        <w:jc w:val="both"/>
        <w:rPr>
          <w:rFonts w:ascii="Arial" w:hAnsi="Arial" w:cs="Arial"/>
          <w:sz w:val="22"/>
          <w:szCs w:val="22"/>
        </w:rPr>
      </w:pPr>
      <w:r w:rsidRPr="00FB6D3B">
        <w:rPr>
          <w:rFonts w:ascii="Arial" w:hAnsi="Arial" w:cs="Arial"/>
          <w:sz w:val="22"/>
          <w:szCs w:val="22"/>
          <w:vertAlign w:val="superscript"/>
        </w:rPr>
        <w:t>2</w:t>
      </w:r>
      <w:r w:rsidRPr="00FB6D3B">
        <w:rPr>
          <w:rFonts w:ascii="Arial" w:hAnsi="Arial" w:cs="Arial"/>
          <w:sz w:val="22"/>
          <w:szCs w:val="22"/>
        </w:rPr>
        <w:t>Oslo’s Resource Centre for Migration Health (RMA)</w:t>
      </w:r>
    </w:p>
    <w:p w:rsidR="00A23897" w:rsidRPr="00405EAA" w:rsidRDefault="00A23897" w:rsidP="00E07089">
      <w:pPr>
        <w:spacing w:after="100"/>
        <w:jc w:val="both"/>
        <w:rPr>
          <w:rFonts w:ascii="Arial" w:hAnsi="Arial" w:cs="Arial"/>
          <w:sz w:val="22"/>
          <w:szCs w:val="22"/>
        </w:rPr>
      </w:pPr>
      <w:r w:rsidRPr="00405EAA">
        <w:rPr>
          <w:rFonts w:ascii="Arial" w:hAnsi="Arial" w:cs="Arial"/>
          <w:sz w:val="22"/>
          <w:szCs w:val="22"/>
        </w:rPr>
        <w:t>* Corresponding author</w:t>
      </w:r>
      <w:r w:rsidR="00FB6D3B">
        <w:rPr>
          <w:rFonts w:ascii="Arial" w:hAnsi="Arial" w:cs="Arial"/>
          <w:sz w:val="22"/>
          <w:szCs w:val="22"/>
        </w:rPr>
        <w:t>: Laura Terragni, laura.terragni@hioa.no</w:t>
      </w:r>
    </w:p>
    <w:p w:rsidR="00405EAA" w:rsidRPr="00A23897" w:rsidRDefault="00405EAA" w:rsidP="00E07089">
      <w:pPr>
        <w:spacing w:after="100"/>
        <w:jc w:val="both"/>
        <w:rPr>
          <w:rFonts w:ascii="Arial" w:hAnsi="Arial" w:cs="Arial"/>
          <w:sz w:val="22"/>
          <w:szCs w:val="22"/>
        </w:rPr>
      </w:pPr>
    </w:p>
    <w:p w:rsidR="00022663" w:rsidRPr="0040670B" w:rsidRDefault="0040670B" w:rsidP="00405EAA">
      <w:pPr>
        <w:spacing w:after="100"/>
        <w:jc w:val="both"/>
        <w:rPr>
          <w:rFonts w:ascii="Arial" w:hAnsi="Arial" w:cs="Arial"/>
          <w:sz w:val="22"/>
          <w:szCs w:val="22"/>
        </w:rPr>
      </w:pPr>
      <w:r>
        <w:rPr>
          <w:rFonts w:ascii="Arial" w:hAnsi="Arial" w:cs="Arial"/>
          <w:b/>
          <w:sz w:val="22"/>
          <w:szCs w:val="22"/>
        </w:rPr>
        <w:t>ABSTRACT</w:t>
      </w:r>
      <w:r w:rsidR="00405EAA">
        <w:rPr>
          <w:rFonts w:ascii="Arial" w:hAnsi="Arial" w:cs="Arial"/>
          <w:b/>
          <w:sz w:val="22"/>
          <w:szCs w:val="22"/>
        </w:rPr>
        <w:t xml:space="preserve"> </w:t>
      </w:r>
    </w:p>
    <w:p w:rsidR="00405EAA" w:rsidRDefault="00405EAA" w:rsidP="00E07089">
      <w:pPr>
        <w:spacing w:after="10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0"/>
      </w:tblGrid>
      <w:tr w:rsidR="0040670B" w:rsidRPr="00F53D44" w:rsidTr="00F53D44">
        <w:tc>
          <w:tcPr>
            <w:tcW w:w="8516" w:type="dxa"/>
            <w:shd w:val="clear" w:color="auto" w:fill="auto"/>
          </w:tcPr>
          <w:p w:rsidR="00E043CE" w:rsidRPr="00E043CE" w:rsidRDefault="00E043CE" w:rsidP="00E043CE">
            <w:pPr>
              <w:spacing w:after="160" w:line="259" w:lineRule="auto"/>
              <w:rPr>
                <w:rFonts w:ascii="Calibri" w:eastAsia="Calibri" w:hAnsi="Calibri"/>
                <w:sz w:val="22"/>
                <w:szCs w:val="22"/>
                <w:lang w:val="en-US"/>
              </w:rPr>
            </w:pPr>
            <w:r w:rsidRPr="00E043CE">
              <w:rPr>
                <w:rFonts w:ascii="Calibri" w:eastAsia="Calibri" w:hAnsi="Calibri"/>
                <w:b/>
                <w:sz w:val="22"/>
                <w:szCs w:val="22"/>
                <w:lang w:val="en-US"/>
              </w:rPr>
              <w:t>Background:</w:t>
            </w:r>
            <w:r w:rsidRPr="00E043CE">
              <w:rPr>
                <w:rFonts w:ascii="Calibri" w:eastAsia="Calibri" w:hAnsi="Calibri"/>
                <w:sz w:val="22"/>
                <w:szCs w:val="22"/>
                <w:lang w:val="en-US"/>
              </w:rPr>
              <w:t xml:space="preserve"> Nutrition is an important determinant of an immigrant’s health status. Previous studies have shown that resettled immigrants and refugees are likely to suffer from malnutrition and are at risk of food insecurity. Unfamiliarity with the new food environment, unavailability of foods used in traditional diets, limited knowledge of or information on shopping and cooking options, together with economic constraints and low health and nutrition literacy, may lead to poorer diets. Nutrition education can address </w:t>
            </w:r>
            <w:proofErr w:type="gramStart"/>
            <w:r w:rsidRPr="00E043CE">
              <w:rPr>
                <w:rFonts w:ascii="Calibri" w:eastAsia="Calibri" w:hAnsi="Calibri"/>
                <w:sz w:val="22"/>
                <w:szCs w:val="22"/>
                <w:lang w:val="en-US"/>
              </w:rPr>
              <w:t>immigrants’</w:t>
            </w:r>
            <w:proofErr w:type="gramEnd"/>
            <w:r w:rsidRPr="00E043CE">
              <w:rPr>
                <w:rFonts w:ascii="Calibri" w:eastAsia="Calibri" w:hAnsi="Calibri"/>
                <w:sz w:val="22"/>
                <w:szCs w:val="22"/>
                <w:lang w:val="en-US"/>
              </w:rPr>
              <w:t xml:space="preserve"> and refugees’ challenges related to the transition to a new food environment. A barrier to effective nutrition education is health workers’ and other professionals’ lack of necessary competence to communicate about health and nutrition in a culturally adapted way. Providing nutrition education resources suitable for personnel working with newly resettled </w:t>
            </w:r>
            <w:proofErr w:type="gramStart"/>
            <w:r w:rsidRPr="00E043CE">
              <w:rPr>
                <w:rFonts w:ascii="Calibri" w:eastAsia="Calibri" w:hAnsi="Calibri"/>
                <w:sz w:val="22"/>
                <w:szCs w:val="22"/>
                <w:lang w:val="en-US"/>
              </w:rPr>
              <w:t>immigrants,</w:t>
            </w:r>
            <w:proofErr w:type="gramEnd"/>
            <w:r w:rsidRPr="00E043CE">
              <w:rPr>
                <w:rFonts w:ascii="Calibri" w:eastAsia="Calibri" w:hAnsi="Calibri"/>
                <w:sz w:val="22"/>
                <w:szCs w:val="22"/>
                <w:lang w:val="en-US"/>
              </w:rPr>
              <w:t xml:space="preserve"> can improve communication with immigrant and refugees about health and nutrition topics at an early stage of the migration process and facilitate the adoption of healthier diets. Public health nutritionists can have a key role in developing culture sensitive nutrition communication tools and build up capacity among other health professionals. </w:t>
            </w:r>
          </w:p>
          <w:p w:rsidR="00E043CE" w:rsidRPr="00E043CE" w:rsidRDefault="00E043CE" w:rsidP="00E043CE">
            <w:pPr>
              <w:spacing w:after="160" w:line="259" w:lineRule="auto"/>
              <w:rPr>
                <w:rFonts w:ascii="Calibri" w:eastAsia="Calibri" w:hAnsi="Calibri"/>
                <w:sz w:val="22"/>
                <w:szCs w:val="22"/>
                <w:lang w:val="en-US"/>
              </w:rPr>
            </w:pPr>
            <w:r w:rsidRPr="00E043CE">
              <w:rPr>
                <w:rFonts w:ascii="Calibri" w:eastAsia="Calibri" w:hAnsi="Calibri"/>
                <w:b/>
                <w:sz w:val="22"/>
                <w:szCs w:val="22"/>
                <w:lang w:val="en-US"/>
              </w:rPr>
              <w:t>The aim</w:t>
            </w:r>
            <w:r w:rsidRPr="00E043CE">
              <w:rPr>
                <w:rFonts w:ascii="Calibri" w:eastAsia="Calibri" w:hAnsi="Calibri"/>
                <w:sz w:val="22"/>
                <w:szCs w:val="22"/>
                <w:lang w:val="en-US"/>
              </w:rPr>
              <w:t xml:space="preserve"> of this paper is to describe the development a nutrition education text and illustration material (</w:t>
            </w:r>
            <w:r w:rsidRPr="00E043CE">
              <w:rPr>
                <w:rFonts w:ascii="Calibri" w:eastAsia="Calibri" w:hAnsi="Calibri"/>
                <w:i/>
                <w:sz w:val="22"/>
                <w:szCs w:val="22"/>
                <w:lang w:val="en-US"/>
              </w:rPr>
              <w:t>Healthy Start</w:t>
            </w:r>
            <w:r w:rsidRPr="00E043CE">
              <w:rPr>
                <w:rFonts w:ascii="Calibri" w:eastAsia="Calibri" w:hAnsi="Calibri"/>
                <w:sz w:val="22"/>
                <w:szCs w:val="22"/>
                <w:lang w:val="en-US"/>
              </w:rPr>
              <w:t xml:space="preserve">) for newly resettled immigrants and refugees in Norway. These resources are meant to be used in what is called the </w:t>
            </w:r>
            <w:r w:rsidRPr="00E043CE">
              <w:rPr>
                <w:rFonts w:ascii="Calibri" w:eastAsia="Calibri" w:hAnsi="Calibri"/>
                <w:i/>
                <w:sz w:val="22"/>
                <w:szCs w:val="22"/>
                <w:lang w:val="en-US"/>
              </w:rPr>
              <w:t xml:space="preserve">Introduction </w:t>
            </w:r>
            <w:proofErr w:type="spellStart"/>
            <w:r w:rsidRPr="00E043CE">
              <w:rPr>
                <w:rFonts w:ascii="Calibri" w:eastAsia="Calibri" w:hAnsi="Calibri"/>
                <w:i/>
                <w:sz w:val="22"/>
                <w:szCs w:val="22"/>
                <w:lang w:val="en-US"/>
              </w:rPr>
              <w:t>Programme</w:t>
            </w:r>
            <w:proofErr w:type="spellEnd"/>
            <w:r w:rsidRPr="00E043CE">
              <w:rPr>
                <w:rFonts w:ascii="Calibri" w:eastAsia="Calibri" w:hAnsi="Calibri"/>
                <w:i/>
                <w:sz w:val="22"/>
                <w:szCs w:val="22"/>
                <w:lang w:val="en-US"/>
              </w:rPr>
              <w:t xml:space="preserve"> for New Immigrants in </w:t>
            </w:r>
            <w:proofErr w:type="gramStart"/>
            <w:r w:rsidRPr="00E043CE">
              <w:rPr>
                <w:rFonts w:ascii="Calibri" w:eastAsia="Calibri" w:hAnsi="Calibri"/>
                <w:i/>
                <w:sz w:val="22"/>
                <w:szCs w:val="22"/>
                <w:lang w:val="en-US"/>
              </w:rPr>
              <w:t>Norway</w:t>
            </w:r>
            <w:r w:rsidRPr="00E043CE">
              <w:rPr>
                <w:rFonts w:ascii="Calibri" w:eastAsia="Calibri" w:hAnsi="Calibri"/>
                <w:sz w:val="22"/>
                <w:szCs w:val="22"/>
                <w:lang w:val="en-US"/>
              </w:rPr>
              <w:t xml:space="preserve"> which</w:t>
            </w:r>
            <w:proofErr w:type="gramEnd"/>
            <w:r w:rsidRPr="00E043CE">
              <w:rPr>
                <w:rFonts w:ascii="Calibri" w:eastAsia="Calibri" w:hAnsi="Calibri"/>
                <w:sz w:val="22"/>
                <w:szCs w:val="22"/>
                <w:lang w:val="en-US"/>
              </w:rPr>
              <w:t xml:space="preserve"> is a mandatory course for immigrants and refugees organized by each municipality. </w:t>
            </w:r>
          </w:p>
          <w:p w:rsidR="00E043CE" w:rsidRPr="00E043CE" w:rsidRDefault="00E043CE" w:rsidP="00E043CE">
            <w:pPr>
              <w:spacing w:after="160" w:line="259" w:lineRule="auto"/>
              <w:rPr>
                <w:rFonts w:ascii="Calibri" w:eastAsia="Calibri" w:hAnsi="Calibri"/>
                <w:sz w:val="22"/>
                <w:szCs w:val="22"/>
                <w:lang w:val="en-US"/>
              </w:rPr>
            </w:pPr>
            <w:r w:rsidRPr="00E043CE">
              <w:rPr>
                <w:rFonts w:ascii="Calibri" w:eastAsia="Calibri" w:hAnsi="Calibri"/>
                <w:b/>
                <w:sz w:val="22"/>
                <w:szCs w:val="22"/>
                <w:lang w:val="en-US"/>
              </w:rPr>
              <w:t>Methods:</w:t>
            </w:r>
            <w:r w:rsidRPr="00E043CE">
              <w:rPr>
                <w:rFonts w:ascii="Calibri" w:eastAsia="Calibri" w:hAnsi="Calibri"/>
                <w:sz w:val="22"/>
                <w:szCs w:val="22"/>
                <w:lang w:val="en-US"/>
              </w:rPr>
              <w:t xml:space="preserve"> The </w:t>
            </w:r>
            <w:r w:rsidRPr="00E043CE">
              <w:rPr>
                <w:rFonts w:ascii="Calibri" w:eastAsia="Calibri" w:hAnsi="Calibri"/>
                <w:i/>
                <w:sz w:val="22"/>
                <w:szCs w:val="22"/>
                <w:lang w:val="en-US"/>
              </w:rPr>
              <w:t>Healthy Start</w:t>
            </w:r>
            <w:r w:rsidRPr="00E043CE">
              <w:rPr>
                <w:rFonts w:ascii="Calibri" w:eastAsia="Calibri" w:hAnsi="Calibri"/>
                <w:sz w:val="22"/>
                <w:szCs w:val="22"/>
                <w:lang w:val="en-US"/>
              </w:rPr>
              <w:t xml:space="preserve"> is a collaborative project between Oslo Municipality’s Resource Centre for Migration Health, the Public Health Nutrition Education Unit at Oslo and </w:t>
            </w:r>
            <w:proofErr w:type="spellStart"/>
            <w:r w:rsidRPr="00E043CE">
              <w:rPr>
                <w:rFonts w:ascii="Calibri" w:eastAsia="Calibri" w:hAnsi="Calibri"/>
                <w:sz w:val="22"/>
                <w:szCs w:val="22"/>
                <w:lang w:val="en-US"/>
              </w:rPr>
              <w:t>Akershus</w:t>
            </w:r>
            <w:proofErr w:type="spellEnd"/>
            <w:r w:rsidRPr="00E043CE">
              <w:rPr>
                <w:rFonts w:ascii="Calibri" w:eastAsia="Calibri" w:hAnsi="Calibri"/>
                <w:sz w:val="22"/>
                <w:szCs w:val="22"/>
                <w:lang w:val="en-US"/>
              </w:rPr>
              <w:t xml:space="preserve"> University College of Applied Sciences and the Norwegian Diabetes Association. </w:t>
            </w:r>
            <w:r w:rsidRPr="00E043CE">
              <w:rPr>
                <w:rFonts w:ascii="Calibri" w:eastAsia="Calibri" w:hAnsi="Calibri"/>
                <w:i/>
                <w:sz w:val="22"/>
                <w:szCs w:val="22"/>
                <w:lang w:val="en-US"/>
              </w:rPr>
              <w:t>Healthy Start</w:t>
            </w:r>
            <w:r w:rsidRPr="00E043CE">
              <w:rPr>
                <w:rFonts w:ascii="Calibri" w:eastAsia="Calibri" w:hAnsi="Calibri"/>
                <w:sz w:val="22"/>
                <w:szCs w:val="22"/>
                <w:lang w:val="en-US"/>
              </w:rPr>
              <w:t xml:space="preserve"> used the Intervention Mapping (IM) approach and </w:t>
            </w:r>
            <w:proofErr w:type="gramStart"/>
            <w:r w:rsidRPr="00E043CE">
              <w:rPr>
                <w:rFonts w:ascii="Calibri" w:eastAsia="Calibri" w:hAnsi="Calibri"/>
                <w:sz w:val="22"/>
                <w:szCs w:val="22"/>
                <w:lang w:val="en-US"/>
              </w:rPr>
              <w:t>was developed</w:t>
            </w:r>
            <w:proofErr w:type="gramEnd"/>
            <w:r w:rsidRPr="00E043CE">
              <w:rPr>
                <w:rFonts w:ascii="Calibri" w:eastAsia="Calibri" w:hAnsi="Calibri"/>
                <w:sz w:val="22"/>
                <w:szCs w:val="22"/>
                <w:lang w:val="en-US"/>
              </w:rPr>
              <w:t xml:space="preserve"> considering the literacy level and cultural preferences of a heterogeneous group of immigrants and refugees as well as the need of cultural competence of nutrition educators who perform health and nutrition communication in this field. Public Health </w:t>
            </w:r>
            <w:r w:rsidRPr="00E043CE">
              <w:rPr>
                <w:rFonts w:ascii="Calibri" w:eastAsia="Calibri" w:hAnsi="Calibri"/>
                <w:sz w:val="22"/>
                <w:szCs w:val="22"/>
                <w:lang w:val="en-US"/>
              </w:rPr>
              <w:lastRenderedPageBreak/>
              <w:t xml:space="preserve">Nutrition students were actively involved in the development and pilot testing of the </w:t>
            </w:r>
            <w:r w:rsidRPr="00E043CE">
              <w:rPr>
                <w:rFonts w:ascii="Calibri" w:eastAsia="Calibri" w:hAnsi="Calibri"/>
                <w:i/>
                <w:sz w:val="22"/>
                <w:szCs w:val="22"/>
                <w:lang w:val="en-US"/>
              </w:rPr>
              <w:t>Healthy Start</w:t>
            </w:r>
            <w:r w:rsidRPr="00E043CE">
              <w:rPr>
                <w:rFonts w:ascii="Calibri" w:eastAsia="Calibri" w:hAnsi="Calibri"/>
                <w:sz w:val="22"/>
                <w:szCs w:val="22"/>
                <w:lang w:val="en-US"/>
              </w:rPr>
              <w:t xml:space="preserve"> during a compulsory trainee </w:t>
            </w:r>
            <w:proofErr w:type="gramStart"/>
            <w:r w:rsidRPr="00E043CE">
              <w:rPr>
                <w:rFonts w:ascii="Calibri" w:eastAsia="Calibri" w:hAnsi="Calibri"/>
                <w:sz w:val="22"/>
                <w:szCs w:val="22"/>
                <w:lang w:val="en-US"/>
              </w:rPr>
              <w:t>period</w:t>
            </w:r>
            <w:proofErr w:type="gramEnd"/>
            <w:r w:rsidRPr="00E043CE">
              <w:rPr>
                <w:rFonts w:ascii="Calibri" w:eastAsia="Calibri" w:hAnsi="Calibri"/>
                <w:sz w:val="22"/>
                <w:szCs w:val="22"/>
                <w:lang w:val="en-US"/>
              </w:rPr>
              <w:t xml:space="preserve">. The materials were pilot tested in four introduction programs. Qualitative interviews </w:t>
            </w:r>
            <w:proofErr w:type="gramStart"/>
            <w:r w:rsidRPr="00E043CE">
              <w:rPr>
                <w:rFonts w:ascii="Calibri" w:eastAsia="Calibri" w:hAnsi="Calibri"/>
                <w:sz w:val="22"/>
                <w:szCs w:val="22"/>
                <w:lang w:val="en-US"/>
              </w:rPr>
              <w:t>were conducted</w:t>
            </w:r>
            <w:proofErr w:type="gramEnd"/>
            <w:r w:rsidRPr="00E043CE">
              <w:rPr>
                <w:rFonts w:ascii="Calibri" w:eastAsia="Calibri" w:hAnsi="Calibri"/>
                <w:sz w:val="22"/>
                <w:szCs w:val="22"/>
                <w:lang w:val="en-US"/>
              </w:rPr>
              <w:t xml:space="preserve"> to evaluate these pilot tests. Additionally, four independent raters evaluated the </w:t>
            </w:r>
            <w:r w:rsidRPr="00E043CE">
              <w:rPr>
                <w:rFonts w:ascii="Calibri" w:eastAsia="Calibri" w:hAnsi="Calibri"/>
                <w:i/>
                <w:sz w:val="22"/>
                <w:szCs w:val="22"/>
                <w:lang w:val="en-US"/>
              </w:rPr>
              <w:t>Healthy Start</w:t>
            </w:r>
            <w:r w:rsidRPr="00E043CE">
              <w:rPr>
                <w:rFonts w:ascii="Calibri" w:eastAsia="Calibri" w:hAnsi="Calibri"/>
                <w:sz w:val="22"/>
                <w:szCs w:val="22"/>
                <w:lang w:val="en-US"/>
              </w:rPr>
              <w:t xml:space="preserve"> materials using the Suitability Assessment of Materials (SAM</w:t>
            </w:r>
            <w:proofErr w:type="gramStart"/>
            <w:r w:rsidRPr="00E043CE">
              <w:rPr>
                <w:rFonts w:ascii="Calibri" w:eastAsia="Calibri" w:hAnsi="Calibri"/>
                <w:sz w:val="22"/>
                <w:szCs w:val="22"/>
                <w:lang w:val="en-US"/>
              </w:rPr>
              <w:t>) which</w:t>
            </w:r>
            <w:proofErr w:type="gramEnd"/>
            <w:r w:rsidRPr="00E043CE">
              <w:rPr>
                <w:rFonts w:ascii="Calibri" w:eastAsia="Calibri" w:hAnsi="Calibri"/>
                <w:sz w:val="22"/>
                <w:szCs w:val="22"/>
                <w:lang w:val="en-US"/>
              </w:rPr>
              <w:t xml:space="preserve"> is applied to objectively assess (score) the suitability of written health information. </w:t>
            </w:r>
          </w:p>
          <w:p w:rsidR="00E043CE" w:rsidRPr="00E043CE" w:rsidRDefault="00E043CE" w:rsidP="00E043CE">
            <w:pPr>
              <w:spacing w:after="160" w:line="259" w:lineRule="auto"/>
              <w:rPr>
                <w:rFonts w:ascii="Calibri" w:eastAsia="Calibri" w:hAnsi="Calibri"/>
                <w:sz w:val="22"/>
                <w:szCs w:val="22"/>
                <w:lang w:val="en-US"/>
              </w:rPr>
            </w:pPr>
            <w:r w:rsidRPr="00E043CE">
              <w:rPr>
                <w:rFonts w:ascii="Calibri" w:eastAsia="Calibri" w:hAnsi="Calibri"/>
                <w:b/>
                <w:sz w:val="22"/>
                <w:szCs w:val="22"/>
                <w:lang w:val="en-US"/>
              </w:rPr>
              <w:t>Results:</w:t>
            </w:r>
            <w:r w:rsidRPr="00E043CE">
              <w:rPr>
                <w:rFonts w:ascii="Calibri" w:eastAsia="Calibri" w:hAnsi="Calibri"/>
                <w:sz w:val="22"/>
                <w:szCs w:val="22"/>
                <w:lang w:val="en-US"/>
              </w:rPr>
              <w:t xml:space="preserve"> The </w:t>
            </w:r>
            <w:r w:rsidRPr="00E043CE">
              <w:rPr>
                <w:rFonts w:ascii="Calibri" w:eastAsia="Calibri" w:hAnsi="Calibri"/>
                <w:i/>
                <w:sz w:val="22"/>
                <w:szCs w:val="22"/>
                <w:lang w:val="en-US"/>
              </w:rPr>
              <w:t>Healthy Start</w:t>
            </w:r>
            <w:r w:rsidRPr="00E043CE">
              <w:rPr>
                <w:rFonts w:ascii="Calibri" w:eastAsia="Calibri" w:hAnsi="Calibri"/>
                <w:sz w:val="22"/>
                <w:szCs w:val="22"/>
                <w:lang w:val="en-US"/>
              </w:rPr>
              <w:t xml:space="preserve"> education resources </w:t>
            </w:r>
            <w:proofErr w:type="gramStart"/>
            <w:r w:rsidRPr="00E043CE">
              <w:rPr>
                <w:rFonts w:ascii="Calibri" w:eastAsia="Calibri" w:hAnsi="Calibri"/>
                <w:sz w:val="22"/>
                <w:szCs w:val="22"/>
                <w:lang w:val="en-US"/>
              </w:rPr>
              <w:t>were divided</w:t>
            </w:r>
            <w:proofErr w:type="gramEnd"/>
            <w:r w:rsidRPr="00E043CE">
              <w:rPr>
                <w:rFonts w:ascii="Calibri" w:eastAsia="Calibri" w:hAnsi="Calibri"/>
                <w:sz w:val="22"/>
                <w:szCs w:val="22"/>
                <w:lang w:val="en-US"/>
              </w:rPr>
              <w:t xml:space="preserve"> into 10 modules, based on the Norwegian Nutrition recommendations. </w:t>
            </w:r>
            <w:proofErr w:type="gramStart"/>
            <w:r w:rsidRPr="00E043CE">
              <w:rPr>
                <w:rFonts w:ascii="Calibri" w:eastAsia="Calibri" w:hAnsi="Calibri"/>
                <w:sz w:val="22"/>
                <w:szCs w:val="22"/>
                <w:lang w:val="en-US"/>
              </w:rPr>
              <w:t xml:space="preserve">Each module had a similar structure consisting of (a) a teachers’ instruction manual on how to use the resources; (b) a detailed template stating the aims of each module, the text to be used by instructors, and additional information about the topics of the module; (c) a PowerPoint presentation to help the </w:t>
            </w:r>
            <w:proofErr w:type="spellStart"/>
            <w:r w:rsidRPr="00E043CE">
              <w:rPr>
                <w:rFonts w:ascii="Calibri" w:eastAsia="Calibri" w:hAnsi="Calibri"/>
                <w:sz w:val="22"/>
                <w:szCs w:val="22"/>
                <w:lang w:val="en-US"/>
              </w:rPr>
              <w:t>programme</w:t>
            </w:r>
            <w:proofErr w:type="spellEnd"/>
            <w:r w:rsidRPr="00E043CE">
              <w:rPr>
                <w:rFonts w:ascii="Calibri" w:eastAsia="Calibri" w:hAnsi="Calibri"/>
                <w:sz w:val="22"/>
                <w:szCs w:val="22"/>
                <w:lang w:val="en-US"/>
              </w:rPr>
              <w:t xml:space="preserve"> advisors visualizing the material during the course and to provide the course participants with information; and (d) an activity book for the course participants with exercises to perform during and after the course to enhance comprehension and learning.</w:t>
            </w:r>
            <w:proofErr w:type="gramEnd"/>
            <w:r w:rsidRPr="00E043CE">
              <w:rPr>
                <w:rFonts w:ascii="Calibri" w:eastAsia="Calibri" w:hAnsi="Calibri"/>
                <w:sz w:val="22"/>
                <w:szCs w:val="22"/>
                <w:lang w:val="en-US"/>
              </w:rPr>
              <w:t xml:space="preserve"> </w:t>
            </w:r>
            <w:proofErr w:type="spellStart"/>
            <w:r w:rsidRPr="00E043CE">
              <w:rPr>
                <w:rFonts w:ascii="Calibri" w:eastAsia="Calibri" w:hAnsi="Calibri"/>
                <w:sz w:val="22"/>
                <w:szCs w:val="22"/>
                <w:lang w:val="en-US"/>
              </w:rPr>
              <w:t>Programme</w:t>
            </w:r>
            <w:proofErr w:type="spellEnd"/>
            <w:r w:rsidRPr="00E043CE">
              <w:rPr>
                <w:rFonts w:ascii="Calibri" w:eastAsia="Calibri" w:hAnsi="Calibri"/>
                <w:sz w:val="22"/>
                <w:szCs w:val="22"/>
                <w:lang w:val="en-US"/>
              </w:rPr>
              <w:t xml:space="preserve"> advisors interviewed during the evaluation considered </w:t>
            </w:r>
            <w:r w:rsidRPr="00E043CE">
              <w:rPr>
                <w:rFonts w:ascii="Calibri" w:eastAsia="Calibri" w:hAnsi="Calibri"/>
                <w:i/>
                <w:sz w:val="22"/>
                <w:szCs w:val="22"/>
                <w:lang w:val="en-US"/>
              </w:rPr>
              <w:t>Healthy Start</w:t>
            </w:r>
            <w:r w:rsidRPr="00E043CE">
              <w:rPr>
                <w:rFonts w:ascii="Calibri" w:eastAsia="Calibri" w:hAnsi="Calibri"/>
                <w:sz w:val="22"/>
                <w:szCs w:val="22"/>
                <w:lang w:val="en-US"/>
              </w:rPr>
              <w:t xml:space="preserve"> as easy to use, culturally adapted and useful for the participants. The independent evaluators using the suitability assessment of materials (SAM evaluated Healthy Start as ‘superior’. </w:t>
            </w:r>
          </w:p>
          <w:p w:rsidR="00E043CE" w:rsidRPr="00E043CE" w:rsidRDefault="00E043CE" w:rsidP="00E043CE">
            <w:pPr>
              <w:spacing w:after="160" w:line="259" w:lineRule="auto"/>
              <w:contextualSpacing/>
              <w:rPr>
                <w:rFonts w:ascii="Calibri" w:eastAsia="Calibri" w:hAnsi="Calibri"/>
                <w:sz w:val="22"/>
                <w:szCs w:val="22"/>
                <w:lang w:val="en-US"/>
              </w:rPr>
            </w:pPr>
            <w:r w:rsidRPr="00E043CE">
              <w:rPr>
                <w:rFonts w:ascii="Calibri" w:eastAsia="Calibri" w:hAnsi="Calibri"/>
                <w:b/>
                <w:sz w:val="22"/>
                <w:szCs w:val="22"/>
                <w:lang w:val="en-US"/>
              </w:rPr>
              <w:t>Conclusion:</w:t>
            </w:r>
            <w:r w:rsidRPr="00E043CE">
              <w:rPr>
                <w:rFonts w:ascii="Calibri" w:eastAsia="Calibri" w:hAnsi="Calibri"/>
                <w:sz w:val="22"/>
                <w:szCs w:val="22"/>
                <w:lang w:val="en-US"/>
              </w:rPr>
              <w:t xml:space="preserve"> Culture sensitive, simple to use education materials such as </w:t>
            </w:r>
            <w:r w:rsidRPr="00E043CE">
              <w:rPr>
                <w:rFonts w:ascii="Calibri" w:eastAsia="Calibri" w:hAnsi="Calibri"/>
                <w:i/>
                <w:sz w:val="22"/>
                <w:szCs w:val="22"/>
                <w:lang w:val="en-US"/>
              </w:rPr>
              <w:t>Healthy Start</w:t>
            </w:r>
            <w:r w:rsidRPr="00E043CE">
              <w:rPr>
                <w:rFonts w:ascii="Calibri" w:eastAsia="Calibri" w:hAnsi="Calibri"/>
                <w:sz w:val="22"/>
                <w:szCs w:val="22"/>
                <w:lang w:val="en-US"/>
              </w:rPr>
              <w:t xml:space="preserve"> can promote information about food and health to refugees and immigrants and facilitate the transition into a new food environment. This can help to achieve equal rights to healthcare for all, which is high on the governmental agenda in Norway. Healthy Start </w:t>
            </w:r>
            <w:proofErr w:type="gramStart"/>
            <w:r w:rsidRPr="00E043CE">
              <w:rPr>
                <w:rFonts w:ascii="Calibri" w:eastAsia="Calibri" w:hAnsi="Calibri"/>
                <w:sz w:val="22"/>
                <w:szCs w:val="22"/>
                <w:lang w:val="en-US"/>
              </w:rPr>
              <w:t>is currently used</w:t>
            </w:r>
            <w:proofErr w:type="gramEnd"/>
            <w:r w:rsidRPr="00E043CE">
              <w:rPr>
                <w:rFonts w:ascii="Calibri" w:eastAsia="Calibri" w:hAnsi="Calibri"/>
                <w:sz w:val="22"/>
                <w:szCs w:val="22"/>
                <w:lang w:val="en-US"/>
              </w:rPr>
              <w:t xml:space="preserve"> in a number of Introduction </w:t>
            </w:r>
            <w:proofErr w:type="spellStart"/>
            <w:r w:rsidRPr="00E043CE">
              <w:rPr>
                <w:rFonts w:ascii="Calibri" w:eastAsia="Calibri" w:hAnsi="Calibri"/>
                <w:sz w:val="22"/>
                <w:szCs w:val="22"/>
                <w:lang w:val="en-US"/>
              </w:rPr>
              <w:t>Programmes</w:t>
            </w:r>
            <w:proofErr w:type="spellEnd"/>
            <w:r w:rsidRPr="00E043CE">
              <w:rPr>
                <w:rFonts w:ascii="Calibri" w:eastAsia="Calibri" w:hAnsi="Calibri"/>
                <w:sz w:val="22"/>
                <w:szCs w:val="22"/>
                <w:lang w:val="en-US"/>
              </w:rPr>
              <w:t xml:space="preserve"> in Norway and in other settings involving health and nutrition communication with immigrants with low literacy.</w:t>
            </w:r>
          </w:p>
          <w:p w:rsidR="00E043CE" w:rsidRPr="00E043CE" w:rsidRDefault="00E043CE" w:rsidP="00E043CE">
            <w:pPr>
              <w:spacing w:after="160" w:line="259" w:lineRule="auto"/>
              <w:contextualSpacing/>
              <w:rPr>
                <w:rFonts w:ascii="Calibri" w:eastAsia="Calibri" w:hAnsi="Calibri"/>
                <w:b/>
                <w:sz w:val="22"/>
                <w:szCs w:val="22"/>
                <w:lang w:val="en-US"/>
              </w:rPr>
            </w:pPr>
            <w:r w:rsidRPr="00E043CE">
              <w:rPr>
                <w:rFonts w:ascii="Calibri" w:eastAsia="Calibri" w:hAnsi="Calibri"/>
                <w:sz w:val="22"/>
                <w:szCs w:val="22"/>
                <w:lang w:val="en-US"/>
              </w:rPr>
              <w:t xml:space="preserve"> </w:t>
            </w:r>
          </w:p>
          <w:p w:rsidR="00E043CE" w:rsidRPr="00E043CE" w:rsidRDefault="00E043CE" w:rsidP="00E043CE">
            <w:pPr>
              <w:spacing w:after="160" w:line="259" w:lineRule="auto"/>
              <w:contextualSpacing/>
              <w:rPr>
                <w:rFonts w:ascii="Calibri" w:eastAsia="Calibri" w:hAnsi="Calibri"/>
                <w:b/>
                <w:sz w:val="22"/>
                <w:szCs w:val="22"/>
                <w:lang w:val="en-US"/>
              </w:rPr>
            </w:pPr>
            <w:r w:rsidRPr="00E043CE">
              <w:rPr>
                <w:rFonts w:ascii="Calibri" w:eastAsia="Calibri" w:hAnsi="Calibri"/>
                <w:b/>
                <w:sz w:val="22"/>
                <w:szCs w:val="22"/>
                <w:lang w:val="en-US"/>
              </w:rPr>
              <w:t>Implications:</w:t>
            </w:r>
            <w:r w:rsidRPr="00E043CE">
              <w:rPr>
                <w:rFonts w:ascii="Calibri" w:eastAsia="Calibri" w:hAnsi="Calibri"/>
                <w:sz w:val="22"/>
                <w:szCs w:val="22"/>
                <w:lang w:val="en-US"/>
              </w:rPr>
              <w:t xml:space="preserve"> The development of the </w:t>
            </w:r>
            <w:r w:rsidRPr="00E043CE">
              <w:rPr>
                <w:rFonts w:ascii="Calibri" w:eastAsia="Calibri" w:hAnsi="Calibri"/>
                <w:i/>
                <w:sz w:val="22"/>
                <w:szCs w:val="22"/>
                <w:lang w:val="en-US"/>
              </w:rPr>
              <w:t>Healthy Start</w:t>
            </w:r>
            <w:r w:rsidRPr="00E043CE">
              <w:rPr>
                <w:rFonts w:ascii="Calibri" w:eastAsia="Calibri" w:hAnsi="Calibri"/>
                <w:sz w:val="22"/>
                <w:szCs w:val="22"/>
                <w:lang w:val="en-US"/>
              </w:rPr>
              <w:t xml:space="preserve"> material provides an example of a role for the Public Health Nutrition education and its students in building up capacity on culture sensitive nutrition communication at community level. Translated and nationally adapted versions of the original Norwegian </w:t>
            </w:r>
            <w:r w:rsidRPr="00E043CE">
              <w:rPr>
                <w:rFonts w:ascii="Calibri" w:eastAsia="Calibri" w:hAnsi="Calibri"/>
                <w:i/>
                <w:sz w:val="22"/>
                <w:szCs w:val="22"/>
                <w:lang w:val="en-US"/>
              </w:rPr>
              <w:t>Healthy Start</w:t>
            </w:r>
            <w:r w:rsidRPr="00E043CE">
              <w:rPr>
                <w:rFonts w:ascii="Calibri" w:eastAsia="Calibri" w:hAnsi="Calibri"/>
                <w:sz w:val="22"/>
                <w:szCs w:val="22"/>
                <w:lang w:val="en-US"/>
              </w:rPr>
              <w:t xml:space="preserve"> nutrition education resources </w:t>
            </w:r>
            <w:proofErr w:type="gramStart"/>
            <w:r w:rsidRPr="00E043CE">
              <w:rPr>
                <w:rFonts w:ascii="Calibri" w:eastAsia="Calibri" w:hAnsi="Calibri"/>
                <w:sz w:val="22"/>
                <w:szCs w:val="22"/>
                <w:lang w:val="en-US"/>
              </w:rPr>
              <w:t>could be used</w:t>
            </w:r>
            <w:proofErr w:type="gramEnd"/>
            <w:r w:rsidRPr="00E043CE">
              <w:rPr>
                <w:rFonts w:ascii="Calibri" w:eastAsia="Calibri" w:hAnsi="Calibri"/>
                <w:sz w:val="22"/>
                <w:szCs w:val="22"/>
                <w:lang w:val="en-US"/>
              </w:rPr>
              <w:t xml:space="preserve"> in numerous settings involving health and nutrition communication and counseling with immigrants and refugees, especially the ones having low health and nutrition literacy. </w:t>
            </w:r>
          </w:p>
          <w:p w:rsidR="0040670B" w:rsidRPr="00F53D44" w:rsidRDefault="0040670B" w:rsidP="00F53D44">
            <w:pPr>
              <w:spacing w:after="100"/>
              <w:jc w:val="both"/>
              <w:rPr>
                <w:rFonts w:ascii="Arial" w:hAnsi="Arial" w:cs="Arial"/>
                <w:sz w:val="22"/>
                <w:szCs w:val="22"/>
              </w:rPr>
            </w:pPr>
          </w:p>
          <w:p w:rsidR="0040670B" w:rsidRPr="00F53D44" w:rsidRDefault="0040670B" w:rsidP="00F53D44">
            <w:pPr>
              <w:spacing w:after="100"/>
              <w:jc w:val="both"/>
              <w:rPr>
                <w:rFonts w:ascii="Arial" w:hAnsi="Arial" w:cs="Arial"/>
                <w:sz w:val="22"/>
                <w:szCs w:val="22"/>
              </w:rPr>
            </w:pPr>
          </w:p>
          <w:p w:rsidR="0040670B" w:rsidRPr="00F53D44" w:rsidRDefault="0040670B" w:rsidP="00F53D44">
            <w:pPr>
              <w:spacing w:after="100"/>
              <w:jc w:val="both"/>
              <w:rPr>
                <w:rFonts w:ascii="Arial" w:hAnsi="Arial" w:cs="Arial"/>
                <w:sz w:val="22"/>
                <w:szCs w:val="22"/>
              </w:rPr>
            </w:pPr>
          </w:p>
          <w:p w:rsidR="0040670B" w:rsidRPr="00F53D44" w:rsidRDefault="0040670B" w:rsidP="00F53D44">
            <w:pPr>
              <w:spacing w:after="100"/>
              <w:jc w:val="both"/>
              <w:rPr>
                <w:rFonts w:ascii="Arial" w:hAnsi="Arial" w:cs="Arial"/>
                <w:sz w:val="22"/>
                <w:szCs w:val="22"/>
              </w:rPr>
            </w:pPr>
          </w:p>
          <w:p w:rsidR="009B61FF" w:rsidRPr="00F53D44" w:rsidRDefault="009B61FF" w:rsidP="00F53D44">
            <w:pPr>
              <w:spacing w:after="100"/>
              <w:jc w:val="both"/>
              <w:rPr>
                <w:rFonts w:ascii="Arial" w:hAnsi="Arial" w:cs="Arial"/>
                <w:sz w:val="22"/>
                <w:szCs w:val="22"/>
              </w:rPr>
            </w:pPr>
          </w:p>
          <w:p w:rsidR="0040670B" w:rsidRPr="00F53D44" w:rsidRDefault="0040670B" w:rsidP="00F53D44">
            <w:pPr>
              <w:spacing w:after="100"/>
              <w:jc w:val="both"/>
              <w:rPr>
                <w:rFonts w:ascii="Arial" w:hAnsi="Arial" w:cs="Arial"/>
                <w:sz w:val="22"/>
                <w:szCs w:val="22"/>
              </w:rPr>
            </w:pPr>
          </w:p>
          <w:p w:rsidR="0040670B" w:rsidRPr="00F53D44" w:rsidRDefault="0040670B" w:rsidP="00F53D44">
            <w:pPr>
              <w:spacing w:after="100"/>
              <w:jc w:val="both"/>
              <w:rPr>
                <w:rFonts w:ascii="Arial" w:hAnsi="Arial" w:cs="Arial"/>
                <w:sz w:val="22"/>
                <w:szCs w:val="22"/>
              </w:rPr>
            </w:pPr>
          </w:p>
        </w:tc>
      </w:tr>
    </w:tbl>
    <w:p w:rsidR="0040670B" w:rsidRDefault="0040670B" w:rsidP="00405EAA">
      <w:pPr>
        <w:spacing w:after="100"/>
        <w:jc w:val="both"/>
        <w:rPr>
          <w:rFonts w:ascii="Arial" w:hAnsi="Arial" w:cs="Arial"/>
          <w:sz w:val="22"/>
          <w:szCs w:val="22"/>
        </w:rPr>
      </w:pPr>
    </w:p>
    <w:p w:rsidR="00FB6D3B" w:rsidRDefault="00FB6D3B" w:rsidP="00405EAA">
      <w:pPr>
        <w:spacing w:after="100"/>
        <w:jc w:val="both"/>
        <w:rPr>
          <w:rFonts w:ascii="Arial" w:hAnsi="Arial" w:cs="Arial"/>
          <w:sz w:val="22"/>
          <w:szCs w:val="22"/>
        </w:rPr>
      </w:pPr>
    </w:p>
    <w:p w:rsidR="00FB6D3B" w:rsidRDefault="00FB6D3B" w:rsidP="00405EAA">
      <w:pPr>
        <w:spacing w:after="100"/>
        <w:jc w:val="both"/>
        <w:rPr>
          <w:rFonts w:ascii="Arial" w:hAnsi="Arial" w:cs="Arial"/>
          <w:sz w:val="22"/>
          <w:szCs w:val="22"/>
        </w:rPr>
      </w:pPr>
    </w:p>
    <w:p w:rsidR="00FB6D3B" w:rsidRDefault="00FB6D3B" w:rsidP="00405EAA">
      <w:pPr>
        <w:spacing w:after="100"/>
        <w:jc w:val="both"/>
        <w:rPr>
          <w:rFonts w:ascii="Arial" w:hAnsi="Arial" w:cs="Arial"/>
          <w:sz w:val="22"/>
          <w:szCs w:val="22"/>
        </w:rPr>
      </w:pPr>
    </w:p>
    <w:p w:rsidR="00405EAA" w:rsidRDefault="00405EAA" w:rsidP="00405EAA">
      <w:pPr>
        <w:spacing w:after="100"/>
        <w:jc w:val="both"/>
        <w:rPr>
          <w:rFonts w:ascii="Arial" w:hAnsi="Arial" w:cs="Arial"/>
          <w:sz w:val="22"/>
          <w:szCs w:val="22"/>
        </w:rPr>
      </w:pPr>
      <w:r>
        <w:rPr>
          <w:rFonts w:ascii="Arial" w:hAnsi="Arial" w:cs="Arial"/>
          <w:b/>
          <w:sz w:val="22"/>
          <w:szCs w:val="22"/>
        </w:rPr>
        <w:t>KEYWORDS</w:t>
      </w:r>
      <w:r w:rsidR="0056647F">
        <w:rPr>
          <w:rFonts w:ascii="Arial" w:hAnsi="Arial" w:cs="Arial"/>
          <w:b/>
          <w:sz w:val="22"/>
          <w:szCs w:val="22"/>
        </w:rPr>
        <w:t xml:space="preserve"> </w:t>
      </w:r>
      <w:r w:rsidR="0056647F" w:rsidRPr="0056647F">
        <w:rPr>
          <w:rFonts w:ascii="Arial" w:hAnsi="Arial" w:cs="Arial"/>
          <w:sz w:val="22"/>
          <w:szCs w:val="22"/>
        </w:rPr>
        <w:t>[List 3 to 5 keywords]</w:t>
      </w:r>
    </w:p>
    <w:p w:rsidR="0056647F" w:rsidRDefault="0056647F" w:rsidP="00405EAA">
      <w:pPr>
        <w:spacing w:after="100"/>
        <w:jc w:val="both"/>
        <w:rPr>
          <w:rFonts w:ascii="Arial" w:hAnsi="Arial" w:cs="Arial"/>
          <w:sz w:val="22"/>
          <w:szCs w:val="22"/>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6753"/>
      </w:tblGrid>
      <w:tr w:rsidR="0040670B" w:rsidRPr="00F53D44" w:rsidTr="00F53D44">
        <w:tc>
          <w:tcPr>
            <w:tcW w:w="1440" w:type="dxa"/>
            <w:shd w:val="clear" w:color="auto" w:fill="auto"/>
          </w:tcPr>
          <w:p w:rsidR="0040670B" w:rsidRPr="00F53D44" w:rsidRDefault="0040670B" w:rsidP="00F53D44">
            <w:pPr>
              <w:spacing w:before="60" w:after="60"/>
              <w:jc w:val="center"/>
              <w:rPr>
                <w:rFonts w:ascii="Arial" w:hAnsi="Arial" w:cs="Arial"/>
                <w:sz w:val="22"/>
                <w:szCs w:val="22"/>
              </w:rPr>
            </w:pPr>
            <w:r w:rsidRPr="00F53D44">
              <w:rPr>
                <w:rFonts w:ascii="Arial" w:hAnsi="Arial" w:cs="Arial"/>
                <w:sz w:val="22"/>
                <w:szCs w:val="22"/>
              </w:rPr>
              <w:t>Keyword 1</w:t>
            </w:r>
          </w:p>
        </w:tc>
        <w:tc>
          <w:tcPr>
            <w:tcW w:w="6965" w:type="dxa"/>
            <w:shd w:val="clear" w:color="auto" w:fill="auto"/>
          </w:tcPr>
          <w:p w:rsidR="0040670B" w:rsidRPr="00F53D44" w:rsidRDefault="00F23F05" w:rsidP="00FB6D3B">
            <w:pPr>
              <w:spacing w:before="60" w:after="60"/>
              <w:jc w:val="both"/>
              <w:rPr>
                <w:rFonts w:ascii="Arial" w:hAnsi="Arial" w:cs="Arial"/>
                <w:sz w:val="22"/>
                <w:szCs w:val="22"/>
              </w:rPr>
            </w:pPr>
            <w:r>
              <w:rPr>
                <w:rFonts w:ascii="Arial" w:hAnsi="Arial" w:cs="Arial"/>
                <w:sz w:val="22"/>
                <w:szCs w:val="22"/>
              </w:rPr>
              <w:t>Nutrition Education</w:t>
            </w:r>
          </w:p>
        </w:tc>
      </w:tr>
      <w:tr w:rsidR="0040670B" w:rsidRPr="00F53D44" w:rsidTr="00F53D44">
        <w:tc>
          <w:tcPr>
            <w:tcW w:w="1440" w:type="dxa"/>
            <w:shd w:val="clear" w:color="auto" w:fill="auto"/>
          </w:tcPr>
          <w:p w:rsidR="0040670B" w:rsidRPr="00F53D44" w:rsidRDefault="0040670B" w:rsidP="00F53D44">
            <w:pPr>
              <w:spacing w:before="60" w:after="60"/>
              <w:jc w:val="center"/>
              <w:rPr>
                <w:rFonts w:ascii="Arial" w:hAnsi="Arial" w:cs="Arial"/>
                <w:sz w:val="22"/>
                <w:szCs w:val="22"/>
              </w:rPr>
            </w:pPr>
            <w:r w:rsidRPr="00F53D44">
              <w:rPr>
                <w:rFonts w:ascii="Arial" w:hAnsi="Arial" w:cs="Arial"/>
                <w:sz w:val="22"/>
                <w:szCs w:val="22"/>
              </w:rPr>
              <w:t>Keyword 2</w:t>
            </w:r>
          </w:p>
        </w:tc>
        <w:tc>
          <w:tcPr>
            <w:tcW w:w="6965" w:type="dxa"/>
            <w:shd w:val="clear" w:color="auto" w:fill="auto"/>
          </w:tcPr>
          <w:p w:rsidR="0040670B" w:rsidRPr="00F53D44" w:rsidRDefault="00F23F05" w:rsidP="00F53D44">
            <w:pPr>
              <w:spacing w:before="60" w:after="60"/>
              <w:jc w:val="both"/>
              <w:rPr>
                <w:rFonts w:ascii="Arial" w:hAnsi="Arial" w:cs="Arial"/>
                <w:sz w:val="22"/>
                <w:szCs w:val="22"/>
              </w:rPr>
            </w:pPr>
            <w:r>
              <w:rPr>
                <w:rFonts w:ascii="Arial" w:hAnsi="Arial" w:cs="Arial"/>
                <w:sz w:val="22"/>
                <w:szCs w:val="22"/>
              </w:rPr>
              <w:t>Refugees</w:t>
            </w:r>
          </w:p>
        </w:tc>
      </w:tr>
      <w:tr w:rsidR="0040670B" w:rsidRPr="00F53D44" w:rsidTr="00F53D44">
        <w:tc>
          <w:tcPr>
            <w:tcW w:w="1440" w:type="dxa"/>
            <w:shd w:val="clear" w:color="auto" w:fill="auto"/>
          </w:tcPr>
          <w:p w:rsidR="0040670B" w:rsidRPr="00F53D44" w:rsidRDefault="0040670B" w:rsidP="00F53D44">
            <w:pPr>
              <w:spacing w:before="60" w:after="60"/>
              <w:jc w:val="center"/>
              <w:rPr>
                <w:rFonts w:ascii="Arial" w:hAnsi="Arial" w:cs="Arial"/>
                <w:b/>
                <w:sz w:val="22"/>
                <w:szCs w:val="22"/>
              </w:rPr>
            </w:pPr>
            <w:r w:rsidRPr="00F53D44">
              <w:rPr>
                <w:rFonts w:ascii="Arial" w:hAnsi="Arial" w:cs="Arial"/>
                <w:sz w:val="22"/>
                <w:szCs w:val="22"/>
              </w:rPr>
              <w:t>Keyword 3</w:t>
            </w:r>
          </w:p>
        </w:tc>
        <w:tc>
          <w:tcPr>
            <w:tcW w:w="6965" w:type="dxa"/>
            <w:shd w:val="clear" w:color="auto" w:fill="auto"/>
          </w:tcPr>
          <w:p w:rsidR="0040670B" w:rsidRPr="00F53D44" w:rsidRDefault="00FB6D3B" w:rsidP="00F53D44">
            <w:pPr>
              <w:spacing w:before="60" w:after="60"/>
              <w:jc w:val="both"/>
              <w:rPr>
                <w:rFonts w:ascii="Arial" w:hAnsi="Arial" w:cs="Arial"/>
                <w:sz w:val="22"/>
                <w:szCs w:val="22"/>
              </w:rPr>
            </w:pPr>
            <w:r>
              <w:rPr>
                <w:rFonts w:ascii="Arial" w:hAnsi="Arial" w:cs="Arial"/>
                <w:sz w:val="22"/>
                <w:szCs w:val="22"/>
              </w:rPr>
              <w:t>Health Literacy</w:t>
            </w:r>
          </w:p>
        </w:tc>
      </w:tr>
      <w:tr w:rsidR="0040670B" w:rsidRPr="00F53D44" w:rsidTr="00F53D44">
        <w:tc>
          <w:tcPr>
            <w:tcW w:w="1440" w:type="dxa"/>
            <w:shd w:val="clear" w:color="auto" w:fill="auto"/>
          </w:tcPr>
          <w:p w:rsidR="0040670B" w:rsidRPr="00F53D44" w:rsidRDefault="0040670B" w:rsidP="00F53D44">
            <w:pPr>
              <w:spacing w:before="60" w:after="60"/>
              <w:jc w:val="center"/>
              <w:rPr>
                <w:rFonts w:ascii="Arial" w:hAnsi="Arial" w:cs="Arial"/>
                <w:sz w:val="22"/>
                <w:szCs w:val="22"/>
              </w:rPr>
            </w:pPr>
            <w:r w:rsidRPr="00F53D44">
              <w:rPr>
                <w:rFonts w:ascii="Arial" w:hAnsi="Arial" w:cs="Arial"/>
                <w:sz w:val="22"/>
                <w:szCs w:val="22"/>
              </w:rPr>
              <w:t>Keyword 4</w:t>
            </w:r>
          </w:p>
        </w:tc>
        <w:tc>
          <w:tcPr>
            <w:tcW w:w="6965" w:type="dxa"/>
            <w:shd w:val="clear" w:color="auto" w:fill="auto"/>
          </w:tcPr>
          <w:p w:rsidR="0040670B" w:rsidRPr="00F53D44" w:rsidRDefault="00F23F05" w:rsidP="00F53D44">
            <w:pPr>
              <w:spacing w:before="60" w:after="60"/>
              <w:jc w:val="both"/>
              <w:rPr>
                <w:rFonts w:ascii="Arial" w:hAnsi="Arial" w:cs="Arial"/>
                <w:sz w:val="22"/>
                <w:szCs w:val="22"/>
              </w:rPr>
            </w:pPr>
            <w:r>
              <w:rPr>
                <w:rFonts w:ascii="Arial" w:hAnsi="Arial" w:cs="Arial"/>
                <w:sz w:val="22"/>
                <w:szCs w:val="22"/>
              </w:rPr>
              <w:t>Public Health Nutrition</w:t>
            </w:r>
          </w:p>
        </w:tc>
      </w:tr>
      <w:tr w:rsidR="00FB6D3B" w:rsidRPr="00F53D44" w:rsidTr="00F53D44">
        <w:tc>
          <w:tcPr>
            <w:tcW w:w="1440" w:type="dxa"/>
            <w:shd w:val="clear" w:color="auto" w:fill="auto"/>
          </w:tcPr>
          <w:p w:rsidR="00FB6D3B" w:rsidRPr="00F53D44" w:rsidRDefault="00FB6D3B" w:rsidP="00FB6D3B">
            <w:pPr>
              <w:spacing w:before="60" w:after="60"/>
              <w:jc w:val="center"/>
              <w:rPr>
                <w:rFonts w:ascii="Arial" w:hAnsi="Arial" w:cs="Arial"/>
                <w:b/>
                <w:sz w:val="22"/>
                <w:szCs w:val="22"/>
              </w:rPr>
            </w:pPr>
            <w:r w:rsidRPr="00F53D44">
              <w:rPr>
                <w:rFonts w:ascii="Arial" w:hAnsi="Arial" w:cs="Arial"/>
                <w:sz w:val="22"/>
                <w:szCs w:val="22"/>
              </w:rPr>
              <w:t>Keyword 5</w:t>
            </w:r>
          </w:p>
        </w:tc>
        <w:tc>
          <w:tcPr>
            <w:tcW w:w="6965" w:type="dxa"/>
            <w:shd w:val="clear" w:color="auto" w:fill="auto"/>
          </w:tcPr>
          <w:p w:rsidR="00FB6D3B" w:rsidRPr="00F53D44" w:rsidRDefault="00FB6D3B" w:rsidP="00FB6D3B">
            <w:pPr>
              <w:spacing w:before="60" w:after="60"/>
              <w:jc w:val="both"/>
              <w:rPr>
                <w:rFonts w:ascii="Arial" w:hAnsi="Arial" w:cs="Arial"/>
                <w:sz w:val="22"/>
                <w:szCs w:val="22"/>
              </w:rPr>
            </w:pPr>
          </w:p>
        </w:tc>
      </w:tr>
      <w:tr w:rsidR="00FB6D3B" w:rsidRPr="00F53D44" w:rsidTr="00F53D44">
        <w:tc>
          <w:tcPr>
            <w:tcW w:w="1440" w:type="dxa"/>
            <w:shd w:val="clear" w:color="auto" w:fill="auto"/>
          </w:tcPr>
          <w:p w:rsidR="00FB6D3B" w:rsidRPr="00F53D44" w:rsidRDefault="00FB6D3B" w:rsidP="00FB6D3B">
            <w:pPr>
              <w:spacing w:before="60" w:after="60"/>
              <w:jc w:val="center"/>
              <w:rPr>
                <w:rFonts w:ascii="Arial" w:hAnsi="Arial" w:cs="Arial"/>
                <w:sz w:val="22"/>
                <w:szCs w:val="22"/>
              </w:rPr>
            </w:pPr>
          </w:p>
        </w:tc>
        <w:tc>
          <w:tcPr>
            <w:tcW w:w="6965" w:type="dxa"/>
            <w:shd w:val="clear" w:color="auto" w:fill="auto"/>
          </w:tcPr>
          <w:p w:rsidR="00FB6D3B" w:rsidRPr="00F53D44" w:rsidRDefault="00FB6D3B" w:rsidP="00FB6D3B">
            <w:pPr>
              <w:spacing w:before="60" w:after="60"/>
              <w:jc w:val="both"/>
              <w:rPr>
                <w:rFonts w:ascii="Arial" w:hAnsi="Arial" w:cs="Arial"/>
                <w:sz w:val="22"/>
                <w:szCs w:val="22"/>
              </w:rPr>
            </w:pPr>
          </w:p>
        </w:tc>
      </w:tr>
    </w:tbl>
    <w:p w:rsidR="00405EAA" w:rsidRDefault="00405EAA" w:rsidP="00E07089">
      <w:pPr>
        <w:spacing w:after="100"/>
        <w:jc w:val="both"/>
        <w:rPr>
          <w:rFonts w:ascii="Arial" w:hAnsi="Arial" w:cs="Arial"/>
          <w:sz w:val="22"/>
          <w:szCs w:val="22"/>
        </w:rPr>
      </w:pPr>
    </w:p>
    <w:p w:rsidR="008C668A" w:rsidRDefault="008C668A" w:rsidP="008C668A">
      <w:pPr>
        <w:spacing w:after="100"/>
        <w:jc w:val="both"/>
        <w:rPr>
          <w:rFonts w:ascii="Arial" w:hAnsi="Arial" w:cs="Arial"/>
          <w:sz w:val="22"/>
          <w:szCs w:val="22"/>
        </w:rPr>
      </w:pPr>
      <w:r>
        <w:rPr>
          <w:rFonts w:ascii="Arial" w:hAnsi="Arial" w:cs="Arial"/>
          <w:b/>
          <w:sz w:val="22"/>
          <w:szCs w:val="22"/>
        </w:rPr>
        <w:t xml:space="preserve">SUBJECT </w:t>
      </w:r>
      <w:r w:rsidR="0056647F">
        <w:rPr>
          <w:rFonts w:ascii="Arial" w:hAnsi="Arial" w:cs="Arial"/>
          <w:b/>
          <w:sz w:val="22"/>
          <w:szCs w:val="22"/>
        </w:rPr>
        <w:t xml:space="preserve">CATEGORIES </w:t>
      </w:r>
      <w:r w:rsidR="0056647F">
        <w:rPr>
          <w:rFonts w:ascii="Arial" w:hAnsi="Arial" w:cs="Arial"/>
          <w:sz w:val="22"/>
          <w:szCs w:val="22"/>
        </w:rPr>
        <w:t>[</w:t>
      </w:r>
      <w:r>
        <w:rPr>
          <w:rFonts w:ascii="Arial" w:hAnsi="Arial" w:cs="Arial"/>
          <w:sz w:val="22"/>
          <w:szCs w:val="22"/>
        </w:rPr>
        <w:t>Select</w:t>
      </w:r>
      <w:r w:rsidRPr="008C668A">
        <w:rPr>
          <w:rFonts w:ascii="Arial" w:hAnsi="Arial" w:cs="Arial"/>
          <w:sz w:val="22"/>
          <w:szCs w:val="22"/>
        </w:rPr>
        <w:t xml:space="preserve"> 3 to 5 </w:t>
      </w:r>
      <w:proofErr w:type="spellStart"/>
      <w:r>
        <w:rPr>
          <w:rFonts w:ascii="Arial" w:hAnsi="Arial" w:cs="Arial"/>
          <w:sz w:val="22"/>
          <w:szCs w:val="22"/>
        </w:rPr>
        <w:t>WoS</w:t>
      </w:r>
      <w:proofErr w:type="spellEnd"/>
      <w:r>
        <w:rPr>
          <w:rFonts w:ascii="Arial" w:hAnsi="Arial" w:cs="Arial"/>
          <w:sz w:val="22"/>
          <w:szCs w:val="22"/>
        </w:rPr>
        <w:t xml:space="preserve"> Subject </w:t>
      </w:r>
      <w:r w:rsidR="0056647F">
        <w:rPr>
          <w:rFonts w:ascii="Arial" w:hAnsi="Arial" w:cs="Arial"/>
          <w:sz w:val="22"/>
          <w:szCs w:val="22"/>
        </w:rPr>
        <w:t xml:space="preserve">Categories </w:t>
      </w:r>
      <w:r w:rsidR="00885E57">
        <w:rPr>
          <w:rFonts w:ascii="Arial" w:hAnsi="Arial" w:cs="Arial"/>
          <w:sz w:val="22"/>
          <w:szCs w:val="22"/>
        </w:rPr>
        <w:t xml:space="preserve">that </w:t>
      </w:r>
      <w:r w:rsidR="008D7C4C" w:rsidRPr="00540D91">
        <w:rPr>
          <w:rFonts w:ascii="Arial" w:hAnsi="Arial" w:cs="Arial"/>
          <w:sz w:val="22"/>
          <w:szCs w:val="22"/>
        </w:rPr>
        <w:t>the paper covers</w:t>
      </w:r>
      <w:r w:rsidR="008D7C4C">
        <w:rPr>
          <w:rFonts w:ascii="Arial" w:hAnsi="Arial" w:cs="Arial"/>
          <w:sz w:val="22"/>
          <w:szCs w:val="22"/>
        </w:rPr>
        <w:t xml:space="preserve">. </w:t>
      </w:r>
      <w:proofErr w:type="spellStart"/>
      <w:r w:rsidR="0056647F">
        <w:rPr>
          <w:rFonts w:ascii="Arial" w:hAnsi="Arial" w:cs="Arial"/>
          <w:sz w:val="22"/>
          <w:szCs w:val="22"/>
        </w:rPr>
        <w:t>Wos</w:t>
      </w:r>
      <w:proofErr w:type="spellEnd"/>
      <w:r w:rsidR="0056647F">
        <w:rPr>
          <w:rFonts w:ascii="Arial" w:hAnsi="Arial" w:cs="Arial"/>
          <w:sz w:val="22"/>
          <w:szCs w:val="22"/>
        </w:rPr>
        <w:t xml:space="preserve"> </w:t>
      </w:r>
      <w:r w:rsidR="008D7C4C">
        <w:rPr>
          <w:rFonts w:ascii="Arial" w:hAnsi="Arial" w:cs="Arial"/>
          <w:sz w:val="22"/>
          <w:szCs w:val="22"/>
        </w:rPr>
        <w:t xml:space="preserve">Subject </w:t>
      </w:r>
      <w:r w:rsidR="0056647F">
        <w:rPr>
          <w:rFonts w:ascii="Arial" w:hAnsi="Arial" w:cs="Arial"/>
          <w:sz w:val="22"/>
          <w:szCs w:val="22"/>
        </w:rPr>
        <w:t xml:space="preserve">Categories </w:t>
      </w:r>
      <w:proofErr w:type="gramStart"/>
      <w:r w:rsidR="008D7C4C">
        <w:rPr>
          <w:rFonts w:ascii="Arial" w:hAnsi="Arial" w:cs="Arial"/>
          <w:sz w:val="22"/>
          <w:szCs w:val="22"/>
        </w:rPr>
        <w:t>can be found</w:t>
      </w:r>
      <w:proofErr w:type="gramEnd"/>
      <w:r w:rsidR="008D7C4C">
        <w:rPr>
          <w:rFonts w:ascii="Arial" w:hAnsi="Arial" w:cs="Arial"/>
          <w:sz w:val="22"/>
          <w:szCs w:val="22"/>
        </w:rPr>
        <w:t xml:space="preserve"> </w:t>
      </w:r>
      <w:r w:rsidR="00122798">
        <w:rPr>
          <w:rFonts w:ascii="Arial" w:hAnsi="Arial" w:cs="Arial"/>
          <w:sz w:val="22"/>
          <w:szCs w:val="22"/>
        </w:rPr>
        <w:t xml:space="preserve">in </w:t>
      </w:r>
      <w:r w:rsidR="0056647F">
        <w:rPr>
          <w:rFonts w:ascii="Arial" w:hAnsi="Arial" w:cs="Arial"/>
          <w:sz w:val="22"/>
          <w:szCs w:val="22"/>
        </w:rPr>
        <w:t xml:space="preserve">the first column of </w:t>
      </w:r>
      <w:r w:rsidR="00122798">
        <w:rPr>
          <w:rFonts w:ascii="Arial" w:hAnsi="Arial" w:cs="Arial"/>
          <w:sz w:val="22"/>
          <w:szCs w:val="22"/>
        </w:rPr>
        <w:t>Table 1</w:t>
      </w:r>
      <w:r w:rsidR="0056647F">
        <w:rPr>
          <w:rFonts w:ascii="Arial" w:hAnsi="Arial" w:cs="Arial"/>
          <w:sz w:val="22"/>
          <w:szCs w:val="22"/>
        </w:rPr>
        <w:t>]</w:t>
      </w:r>
    </w:p>
    <w:p w:rsidR="0056647F" w:rsidRDefault="0056647F" w:rsidP="008C668A">
      <w:pPr>
        <w:spacing w:after="100"/>
        <w:jc w:val="both"/>
        <w:rPr>
          <w:rFonts w:ascii="Arial" w:hAnsi="Arial" w:cs="Arial"/>
          <w:sz w:val="22"/>
          <w:szCs w:val="22"/>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6578"/>
      </w:tblGrid>
      <w:tr w:rsidR="0040670B" w:rsidRPr="00F53D44" w:rsidTr="00F53D44">
        <w:tc>
          <w:tcPr>
            <w:tcW w:w="1620" w:type="dxa"/>
            <w:shd w:val="clear" w:color="auto" w:fill="auto"/>
          </w:tcPr>
          <w:p w:rsidR="0040670B" w:rsidRPr="00F53D44" w:rsidRDefault="0040670B" w:rsidP="00F53D44">
            <w:pPr>
              <w:spacing w:before="60" w:after="60"/>
              <w:jc w:val="center"/>
              <w:rPr>
                <w:rFonts w:ascii="Arial" w:hAnsi="Arial" w:cs="Arial"/>
                <w:sz w:val="22"/>
                <w:szCs w:val="22"/>
              </w:rPr>
            </w:pPr>
            <w:proofErr w:type="spellStart"/>
            <w:r w:rsidRPr="00F53D44">
              <w:rPr>
                <w:rFonts w:ascii="Arial" w:hAnsi="Arial" w:cs="Arial"/>
                <w:sz w:val="22"/>
                <w:szCs w:val="22"/>
              </w:rPr>
              <w:t>WoS</w:t>
            </w:r>
            <w:proofErr w:type="spellEnd"/>
            <w:r w:rsidRPr="00F53D44">
              <w:rPr>
                <w:rFonts w:ascii="Arial" w:hAnsi="Arial" w:cs="Arial"/>
                <w:sz w:val="22"/>
                <w:szCs w:val="22"/>
              </w:rPr>
              <w:t xml:space="preserve"> Subject Category 1</w:t>
            </w:r>
          </w:p>
        </w:tc>
        <w:tc>
          <w:tcPr>
            <w:tcW w:w="6785" w:type="dxa"/>
            <w:shd w:val="clear" w:color="auto" w:fill="auto"/>
          </w:tcPr>
          <w:p w:rsidR="0040670B" w:rsidRPr="00F53D44" w:rsidRDefault="00F23F05" w:rsidP="00F53D44">
            <w:pPr>
              <w:spacing w:before="60" w:after="60"/>
              <w:jc w:val="both"/>
              <w:rPr>
                <w:rFonts w:ascii="Arial" w:hAnsi="Arial" w:cs="Arial"/>
                <w:sz w:val="22"/>
                <w:szCs w:val="22"/>
              </w:rPr>
            </w:pPr>
            <w:r w:rsidRPr="00F23F05">
              <w:rPr>
                <w:rFonts w:ascii="Arial" w:hAnsi="Arial" w:cs="Arial"/>
                <w:sz w:val="22"/>
                <w:szCs w:val="22"/>
              </w:rPr>
              <w:t>Nutrition &amp; Dietetics</w:t>
            </w:r>
          </w:p>
        </w:tc>
      </w:tr>
      <w:tr w:rsidR="0040670B" w:rsidRPr="00F53D44" w:rsidTr="00F53D44">
        <w:tc>
          <w:tcPr>
            <w:tcW w:w="1620" w:type="dxa"/>
            <w:shd w:val="clear" w:color="auto" w:fill="auto"/>
          </w:tcPr>
          <w:p w:rsidR="0040670B" w:rsidRPr="00F53D44" w:rsidRDefault="0040670B" w:rsidP="00F53D44">
            <w:pPr>
              <w:spacing w:before="60" w:after="60"/>
              <w:jc w:val="center"/>
              <w:rPr>
                <w:rFonts w:ascii="Arial" w:hAnsi="Arial" w:cs="Arial"/>
                <w:sz w:val="22"/>
                <w:szCs w:val="22"/>
              </w:rPr>
            </w:pPr>
            <w:proofErr w:type="spellStart"/>
            <w:r w:rsidRPr="00F53D44">
              <w:rPr>
                <w:rFonts w:ascii="Arial" w:hAnsi="Arial" w:cs="Arial"/>
                <w:sz w:val="22"/>
                <w:szCs w:val="22"/>
              </w:rPr>
              <w:t>WoS</w:t>
            </w:r>
            <w:proofErr w:type="spellEnd"/>
            <w:r w:rsidRPr="00F53D44">
              <w:rPr>
                <w:rFonts w:ascii="Arial" w:hAnsi="Arial" w:cs="Arial"/>
                <w:sz w:val="22"/>
                <w:szCs w:val="22"/>
              </w:rPr>
              <w:t xml:space="preserve"> Subject Category 2</w:t>
            </w:r>
          </w:p>
        </w:tc>
        <w:tc>
          <w:tcPr>
            <w:tcW w:w="6785" w:type="dxa"/>
            <w:shd w:val="clear" w:color="auto" w:fill="auto"/>
          </w:tcPr>
          <w:p w:rsidR="0040670B" w:rsidRPr="00F53D44" w:rsidRDefault="00F23F05" w:rsidP="00F53D44">
            <w:pPr>
              <w:spacing w:before="60" w:after="60"/>
              <w:jc w:val="both"/>
              <w:rPr>
                <w:rFonts w:ascii="Arial" w:hAnsi="Arial" w:cs="Arial"/>
                <w:sz w:val="22"/>
                <w:szCs w:val="22"/>
              </w:rPr>
            </w:pPr>
            <w:r w:rsidRPr="00F23F05">
              <w:rPr>
                <w:rFonts w:ascii="Arial" w:hAnsi="Arial" w:cs="Arial"/>
                <w:sz w:val="22"/>
                <w:szCs w:val="22"/>
              </w:rPr>
              <w:t>Health Care Sciences &amp; Services</w:t>
            </w:r>
          </w:p>
        </w:tc>
      </w:tr>
      <w:tr w:rsidR="0040670B" w:rsidRPr="00F53D44" w:rsidTr="00F53D44">
        <w:tc>
          <w:tcPr>
            <w:tcW w:w="1620" w:type="dxa"/>
            <w:shd w:val="clear" w:color="auto" w:fill="auto"/>
          </w:tcPr>
          <w:p w:rsidR="0040670B" w:rsidRPr="00F53D44" w:rsidRDefault="0040670B" w:rsidP="00F53D44">
            <w:pPr>
              <w:spacing w:before="60" w:after="60"/>
              <w:jc w:val="center"/>
              <w:rPr>
                <w:rFonts w:ascii="Arial" w:hAnsi="Arial" w:cs="Arial"/>
                <w:b/>
                <w:sz w:val="22"/>
                <w:szCs w:val="22"/>
              </w:rPr>
            </w:pPr>
            <w:proofErr w:type="spellStart"/>
            <w:r w:rsidRPr="00F53D44">
              <w:rPr>
                <w:rFonts w:ascii="Arial" w:hAnsi="Arial" w:cs="Arial"/>
                <w:sz w:val="22"/>
                <w:szCs w:val="22"/>
              </w:rPr>
              <w:t>WoS</w:t>
            </w:r>
            <w:proofErr w:type="spellEnd"/>
            <w:r w:rsidRPr="00F53D44">
              <w:rPr>
                <w:rFonts w:ascii="Arial" w:hAnsi="Arial" w:cs="Arial"/>
                <w:sz w:val="22"/>
                <w:szCs w:val="22"/>
              </w:rPr>
              <w:t xml:space="preserve"> Subject Category 3</w:t>
            </w:r>
          </w:p>
        </w:tc>
        <w:tc>
          <w:tcPr>
            <w:tcW w:w="6785" w:type="dxa"/>
            <w:shd w:val="clear" w:color="auto" w:fill="auto"/>
          </w:tcPr>
          <w:p w:rsidR="0040670B" w:rsidRPr="00F53D44" w:rsidRDefault="00F23F05" w:rsidP="00F53D44">
            <w:pPr>
              <w:spacing w:before="60" w:after="60"/>
              <w:jc w:val="both"/>
              <w:rPr>
                <w:rFonts w:ascii="Arial" w:hAnsi="Arial" w:cs="Arial"/>
                <w:sz w:val="22"/>
                <w:szCs w:val="22"/>
              </w:rPr>
            </w:pPr>
            <w:r w:rsidRPr="00F23F05">
              <w:rPr>
                <w:rFonts w:ascii="Arial" w:hAnsi="Arial" w:cs="Arial"/>
                <w:sz w:val="22"/>
                <w:szCs w:val="22"/>
              </w:rPr>
              <w:t>Education &amp; Educational Research</w:t>
            </w:r>
          </w:p>
        </w:tc>
      </w:tr>
      <w:tr w:rsidR="0040670B" w:rsidRPr="00F53D44" w:rsidTr="00F53D44">
        <w:tc>
          <w:tcPr>
            <w:tcW w:w="1620" w:type="dxa"/>
            <w:shd w:val="clear" w:color="auto" w:fill="auto"/>
          </w:tcPr>
          <w:p w:rsidR="0040670B" w:rsidRPr="00F53D44" w:rsidRDefault="0040670B" w:rsidP="00F53D44">
            <w:pPr>
              <w:spacing w:before="60" w:after="60"/>
              <w:jc w:val="center"/>
              <w:rPr>
                <w:rFonts w:ascii="Arial" w:hAnsi="Arial" w:cs="Arial"/>
                <w:sz w:val="22"/>
                <w:szCs w:val="22"/>
              </w:rPr>
            </w:pPr>
            <w:proofErr w:type="spellStart"/>
            <w:r w:rsidRPr="00F53D44">
              <w:rPr>
                <w:rFonts w:ascii="Arial" w:hAnsi="Arial" w:cs="Arial"/>
                <w:sz w:val="22"/>
                <w:szCs w:val="22"/>
              </w:rPr>
              <w:t>WoS</w:t>
            </w:r>
            <w:proofErr w:type="spellEnd"/>
            <w:r w:rsidRPr="00F53D44">
              <w:rPr>
                <w:rFonts w:ascii="Arial" w:hAnsi="Arial" w:cs="Arial"/>
                <w:sz w:val="22"/>
                <w:szCs w:val="22"/>
              </w:rPr>
              <w:t xml:space="preserve"> Subject Category 4</w:t>
            </w:r>
          </w:p>
        </w:tc>
        <w:tc>
          <w:tcPr>
            <w:tcW w:w="6785" w:type="dxa"/>
            <w:shd w:val="clear" w:color="auto" w:fill="auto"/>
          </w:tcPr>
          <w:p w:rsidR="0040670B" w:rsidRPr="00F53D44" w:rsidRDefault="0040670B" w:rsidP="00F53D44">
            <w:pPr>
              <w:spacing w:before="60" w:after="60"/>
              <w:jc w:val="both"/>
              <w:rPr>
                <w:rFonts w:ascii="Arial" w:hAnsi="Arial" w:cs="Arial"/>
                <w:sz w:val="22"/>
                <w:szCs w:val="22"/>
              </w:rPr>
            </w:pPr>
          </w:p>
        </w:tc>
      </w:tr>
      <w:tr w:rsidR="0040670B" w:rsidRPr="00F53D44" w:rsidTr="00F53D44">
        <w:tc>
          <w:tcPr>
            <w:tcW w:w="1620" w:type="dxa"/>
            <w:shd w:val="clear" w:color="auto" w:fill="auto"/>
          </w:tcPr>
          <w:p w:rsidR="0040670B" w:rsidRPr="00F53D44" w:rsidRDefault="0040670B" w:rsidP="00F53D44">
            <w:pPr>
              <w:spacing w:before="60" w:after="60"/>
              <w:jc w:val="center"/>
              <w:rPr>
                <w:rFonts w:ascii="Arial" w:hAnsi="Arial" w:cs="Arial"/>
                <w:b/>
                <w:sz w:val="22"/>
                <w:szCs w:val="22"/>
              </w:rPr>
            </w:pPr>
            <w:proofErr w:type="spellStart"/>
            <w:r w:rsidRPr="00F53D44">
              <w:rPr>
                <w:rFonts w:ascii="Arial" w:hAnsi="Arial" w:cs="Arial"/>
                <w:sz w:val="22"/>
                <w:szCs w:val="22"/>
              </w:rPr>
              <w:t>WoS</w:t>
            </w:r>
            <w:proofErr w:type="spellEnd"/>
            <w:r w:rsidRPr="00F53D44">
              <w:rPr>
                <w:rFonts w:ascii="Arial" w:hAnsi="Arial" w:cs="Arial"/>
                <w:sz w:val="22"/>
                <w:szCs w:val="22"/>
              </w:rPr>
              <w:t xml:space="preserve"> Subject Category 5</w:t>
            </w:r>
          </w:p>
        </w:tc>
        <w:tc>
          <w:tcPr>
            <w:tcW w:w="6785" w:type="dxa"/>
            <w:shd w:val="clear" w:color="auto" w:fill="auto"/>
          </w:tcPr>
          <w:p w:rsidR="0040670B" w:rsidRPr="00F53D44" w:rsidRDefault="0040670B" w:rsidP="00F53D44">
            <w:pPr>
              <w:spacing w:before="60" w:after="60"/>
              <w:jc w:val="both"/>
              <w:rPr>
                <w:rFonts w:ascii="Arial" w:hAnsi="Arial" w:cs="Arial"/>
                <w:sz w:val="22"/>
                <w:szCs w:val="22"/>
              </w:rPr>
            </w:pPr>
          </w:p>
        </w:tc>
      </w:tr>
    </w:tbl>
    <w:p w:rsidR="008C668A" w:rsidRDefault="008C668A" w:rsidP="00E07089">
      <w:pPr>
        <w:spacing w:after="100"/>
        <w:jc w:val="both"/>
        <w:rPr>
          <w:rFonts w:ascii="Arial" w:hAnsi="Arial" w:cs="Arial"/>
          <w:sz w:val="22"/>
          <w:szCs w:val="22"/>
        </w:rPr>
      </w:pPr>
    </w:p>
    <w:p w:rsidR="00405EAA" w:rsidRDefault="00405EAA" w:rsidP="00E07089">
      <w:pPr>
        <w:spacing w:after="100"/>
        <w:jc w:val="both"/>
        <w:rPr>
          <w:rFonts w:ascii="Arial" w:hAnsi="Arial" w:cs="Arial"/>
          <w:sz w:val="22"/>
          <w:szCs w:val="22"/>
        </w:rPr>
      </w:pPr>
      <w:r>
        <w:rPr>
          <w:rFonts w:ascii="Arial" w:hAnsi="Arial" w:cs="Arial"/>
          <w:b/>
          <w:sz w:val="22"/>
          <w:szCs w:val="22"/>
        </w:rPr>
        <w:t>PRESENTER</w:t>
      </w:r>
      <w:r w:rsidR="0056647F">
        <w:rPr>
          <w:rFonts w:ascii="Arial" w:hAnsi="Arial" w:cs="Arial"/>
          <w:b/>
          <w:sz w:val="22"/>
          <w:szCs w:val="22"/>
        </w:rPr>
        <w:t xml:space="preserve"> </w:t>
      </w:r>
      <w:r w:rsidR="0056647F" w:rsidRPr="0056647F">
        <w:rPr>
          <w:rFonts w:ascii="Arial" w:hAnsi="Arial" w:cs="Arial"/>
          <w:sz w:val="22"/>
          <w:szCs w:val="22"/>
        </w:rPr>
        <w:t xml:space="preserve">[Select the author </w:t>
      </w:r>
      <w:r w:rsidR="0056647F">
        <w:rPr>
          <w:rFonts w:ascii="Arial" w:hAnsi="Arial" w:cs="Arial"/>
          <w:sz w:val="22"/>
          <w:szCs w:val="22"/>
        </w:rPr>
        <w:t>who</w:t>
      </w:r>
      <w:r w:rsidR="0056647F" w:rsidRPr="0056647F">
        <w:rPr>
          <w:rFonts w:ascii="Arial" w:hAnsi="Arial" w:cs="Arial"/>
          <w:sz w:val="22"/>
          <w:szCs w:val="22"/>
        </w:rPr>
        <w:t xml:space="preserve"> will be presenting the paper at the Conference. </w:t>
      </w:r>
      <w:r w:rsidR="008C668A" w:rsidRPr="0056647F">
        <w:rPr>
          <w:rFonts w:ascii="Arial" w:hAnsi="Arial" w:cs="Arial"/>
          <w:sz w:val="22"/>
          <w:szCs w:val="22"/>
        </w:rPr>
        <w:t xml:space="preserve">Only </w:t>
      </w:r>
      <w:r w:rsidR="005A58BC" w:rsidRPr="0056647F">
        <w:rPr>
          <w:rFonts w:ascii="Arial" w:hAnsi="Arial" w:cs="Arial"/>
          <w:sz w:val="22"/>
          <w:szCs w:val="22"/>
        </w:rPr>
        <w:t>the presenter</w:t>
      </w:r>
      <w:r w:rsidR="008C668A" w:rsidRPr="0056647F">
        <w:rPr>
          <w:rFonts w:ascii="Arial" w:hAnsi="Arial" w:cs="Arial"/>
          <w:sz w:val="22"/>
          <w:szCs w:val="22"/>
        </w:rPr>
        <w:t xml:space="preserve"> </w:t>
      </w:r>
      <w:proofErr w:type="gramStart"/>
      <w:r w:rsidR="005A58BC" w:rsidRPr="0056647F">
        <w:rPr>
          <w:rFonts w:ascii="Arial" w:hAnsi="Arial" w:cs="Arial"/>
          <w:sz w:val="22"/>
          <w:szCs w:val="22"/>
        </w:rPr>
        <w:t>shall be invited</w:t>
      </w:r>
      <w:proofErr w:type="gramEnd"/>
      <w:r w:rsidR="005A58BC" w:rsidRPr="0056647F">
        <w:rPr>
          <w:rFonts w:ascii="Arial" w:hAnsi="Arial" w:cs="Arial"/>
          <w:sz w:val="22"/>
          <w:szCs w:val="22"/>
        </w:rPr>
        <w:t xml:space="preserve"> to</w:t>
      </w:r>
      <w:r w:rsidR="008C668A" w:rsidRPr="0056647F">
        <w:rPr>
          <w:rFonts w:ascii="Arial" w:hAnsi="Arial" w:cs="Arial"/>
          <w:sz w:val="22"/>
          <w:szCs w:val="22"/>
        </w:rPr>
        <w:t xml:space="preserve"> </w:t>
      </w:r>
      <w:r w:rsidR="008D7C4C" w:rsidRPr="0056647F">
        <w:rPr>
          <w:rFonts w:ascii="Arial" w:hAnsi="Arial" w:cs="Arial"/>
          <w:sz w:val="22"/>
          <w:szCs w:val="22"/>
        </w:rPr>
        <w:t xml:space="preserve">attend the Conference and </w:t>
      </w:r>
      <w:r w:rsidR="0056647F" w:rsidRPr="0056647F">
        <w:rPr>
          <w:rFonts w:ascii="Arial" w:hAnsi="Arial" w:cs="Arial"/>
          <w:sz w:val="22"/>
          <w:szCs w:val="22"/>
        </w:rPr>
        <w:t>present the paper]</w:t>
      </w:r>
    </w:p>
    <w:p w:rsidR="0056647F" w:rsidRDefault="0056647F" w:rsidP="00E07089">
      <w:pPr>
        <w:spacing w:after="100"/>
        <w:jc w:val="both"/>
        <w:rPr>
          <w:rFonts w:ascii="Arial" w:hAnsi="Arial" w:cs="Arial"/>
          <w:sz w:val="22"/>
          <w:szCs w:val="22"/>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1"/>
        <w:gridCol w:w="5618"/>
      </w:tblGrid>
      <w:tr w:rsidR="0040670B" w:rsidRPr="00F53D44" w:rsidTr="00F53D44">
        <w:tc>
          <w:tcPr>
            <w:tcW w:w="2610" w:type="dxa"/>
            <w:shd w:val="clear" w:color="auto" w:fill="auto"/>
          </w:tcPr>
          <w:p w:rsidR="0040670B" w:rsidRPr="00F53D44" w:rsidRDefault="0040670B" w:rsidP="00F53D44">
            <w:pPr>
              <w:spacing w:before="60" w:after="60"/>
              <w:jc w:val="center"/>
              <w:rPr>
                <w:rFonts w:ascii="Arial" w:hAnsi="Arial" w:cs="Arial"/>
                <w:sz w:val="22"/>
                <w:szCs w:val="22"/>
              </w:rPr>
            </w:pPr>
            <w:r w:rsidRPr="00F53D44">
              <w:rPr>
                <w:rFonts w:ascii="Arial" w:hAnsi="Arial" w:cs="Arial"/>
                <w:sz w:val="22"/>
                <w:szCs w:val="22"/>
              </w:rPr>
              <w:t>Presenter’s name and surname</w:t>
            </w:r>
          </w:p>
        </w:tc>
        <w:tc>
          <w:tcPr>
            <w:tcW w:w="5795" w:type="dxa"/>
            <w:shd w:val="clear" w:color="auto" w:fill="auto"/>
          </w:tcPr>
          <w:p w:rsidR="0040670B" w:rsidRPr="00F53D44" w:rsidRDefault="00FB6D3B" w:rsidP="00F53D44">
            <w:pPr>
              <w:spacing w:before="60" w:after="60"/>
              <w:jc w:val="both"/>
              <w:rPr>
                <w:rFonts w:ascii="Arial" w:hAnsi="Arial" w:cs="Arial"/>
                <w:sz w:val="22"/>
                <w:szCs w:val="22"/>
              </w:rPr>
            </w:pPr>
            <w:r>
              <w:rPr>
                <w:rFonts w:ascii="Arial" w:hAnsi="Arial" w:cs="Arial"/>
                <w:sz w:val="22"/>
                <w:szCs w:val="22"/>
              </w:rPr>
              <w:t>Kjell Sverre Pettersen</w:t>
            </w:r>
          </w:p>
        </w:tc>
      </w:tr>
    </w:tbl>
    <w:p w:rsidR="0040670B" w:rsidRDefault="0040670B" w:rsidP="00E07089">
      <w:pPr>
        <w:spacing w:after="100"/>
        <w:jc w:val="both"/>
        <w:rPr>
          <w:rFonts w:ascii="Arial" w:hAnsi="Arial" w:cs="Arial"/>
          <w:sz w:val="22"/>
          <w:szCs w:val="22"/>
        </w:rPr>
      </w:pPr>
    </w:p>
    <w:p w:rsidR="00FB46B9" w:rsidRPr="00405EAA" w:rsidRDefault="00FB46B9" w:rsidP="00E07089">
      <w:pPr>
        <w:spacing w:after="100"/>
        <w:jc w:val="both"/>
        <w:rPr>
          <w:rFonts w:ascii="Arial" w:hAnsi="Arial" w:cs="Arial"/>
          <w:b/>
          <w:sz w:val="22"/>
          <w:szCs w:val="22"/>
        </w:rPr>
      </w:pPr>
      <w:bookmarkStart w:id="0" w:name="_GoBack"/>
      <w:bookmarkEnd w:id="0"/>
    </w:p>
    <w:sectPr w:rsidR="00FB46B9" w:rsidRPr="00405EAA" w:rsidSect="00A23897">
      <w:headerReference w:type="default" r:id="rId7"/>
      <w:footerReference w:type="default" r:id="rId8"/>
      <w:headerReference w:type="first" r:id="rId9"/>
      <w:footerReference w:type="firs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F83" w:rsidRDefault="00BB7F83" w:rsidP="00064997">
      <w:r>
        <w:separator/>
      </w:r>
    </w:p>
  </w:endnote>
  <w:endnote w:type="continuationSeparator" w:id="0">
    <w:p w:rsidR="00BB7F83" w:rsidRDefault="00BB7F83" w:rsidP="00064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utura Medium">
    <w:altName w:val="Times New Roman"/>
    <w:charset w:val="00"/>
    <w:family w:val="auto"/>
    <w:pitch w:val="variable"/>
    <w:sig w:usb0="00000000" w:usb1="00000000" w:usb2="00000000" w:usb3="00000000" w:csb0="000001F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6B9" w:rsidRPr="00F53D44" w:rsidRDefault="00FB46B9" w:rsidP="0015632F">
    <w:pPr>
      <w:jc w:val="both"/>
      <w:rPr>
        <w:rFonts w:ascii="Arial" w:hAnsi="Arial" w:cs="Arial"/>
        <w:b/>
        <w:color w:val="000000"/>
        <w:sz w:val="16"/>
        <w:szCs w:val="16"/>
      </w:rPr>
    </w:pPr>
  </w:p>
  <w:p w:rsidR="00FB46B9" w:rsidRPr="00F53D44" w:rsidRDefault="00FB46B9" w:rsidP="0015632F">
    <w:pPr>
      <w:jc w:val="both"/>
      <w:rPr>
        <w:rFonts w:ascii="Arial" w:hAnsi="Arial" w:cs="Arial"/>
        <w:b/>
        <w:color w:val="000000"/>
        <w:sz w:val="16"/>
        <w:szCs w:val="16"/>
      </w:rPr>
    </w:pPr>
  </w:p>
  <w:p w:rsidR="00FB46B9" w:rsidRPr="00F53D44" w:rsidRDefault="00FB46B9" w:rsidP="0015632F">
    <w:pPr>
      <w:jc w:val="both"/>
      <w:rPr>
        <w:rFonts w:ascii="Arial" w:hAnsi="Arial" w:cs="Arial"/>
        <w:b/>
        <w:color w:val="000000"/>
        <w:sz w:val="16"/>
        <w:szCs w:val="16"/>
      </w:rPr>
    </w:pPr>
  </w:p>
  <w:p w:rsidR="00FB46B9" w:rsidRPr="00F53D44" w:rsidRDefault="003E1E5A" w:rsidP="0015632F">
    <w:pPr>
      <w:jc w:val="both"/>
      <w:rPr>
        <w:rFonts w:ascii="Futura Medium" w:hAnsi="Futura Medium" w:cs="Futura Medium"/>
        <w:b/>
        <w:color w:val="7F7F7F"/>
        <w:sz w:val="16"/>
        <w:szCs w:val="16"/>
      </w:rPr>
    </w:pPr>
    <w:r w:rsidRPr="00F53D44">
      <w:rPr>
        <w:rFonts w:ascii="Futura Medium" w:hAnsi="Futura Medium" w:cs="Futura Medium"/>
        <w:b/>
        <w:noProof/>
        <w:color w:val="000000"/>
        <w:sz w:val="18"/>
        <w:szCs w:val="18"/>
        <w:lang w:eastAsia="en-GB"/>
      </w:rPr>
      <w:drawing>
        <wp:inline distT="0" distB="0" distL="0" distR="0">
          <wp:extent cx="5267325" cy="457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4572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6B9" w:rsidRDefault="00FB46B9">
    <w:pPr>
      <w:pStyle w:val="Footer"/>
    </w:pPr>
  </w:p>
  <w:p w:rsidR="00FB46B9" w:rsidRPr="00F53D44" w:rsidRDefault="00FB46B9" w:rsidP="00022663">
    <w:pPr>
      <w:jc w:val="both"/>
      <w:rPr>
        <w:rFonts w:ascii="Arial" w:hAnsi="Arial" w:cs="Arial"/>
        <w:b/>
        <w:color w:val="000000"/>
        <w:sz w:val="16"/>
        <w:szCs w:val="16"/>
      </w:rPr>
    </w:pPr>
  </w:p>
  <w:p w:rsidR="00FB46B9" w:rsidRPr="00F53D44" w:rsidRDefault="00FB46B9" w:rsidP="00022663">
    <w:pPr>
      <w:jc w:val="both"/>
      <w:rPr>
        <w:rFonts w:ascii="Arial" w:hAnsi="Arial" w:cs="Arial"/>
        <w:b/>
        <w:color w:val="000000"/>
        <w:sz w:val="16"/>
        <w:szCs w:val="16"/>
      </w:rPr>
    </w:pPr>
  </w:p>
  <w:p w:rsidR="00FB46B9" w:rsidRPr="00F53D44" w:rsidRDefault="003E1E5A" w:rsidP="00022663">
    <w:pPr>
      <w:jc w:val="both"/>
      <w:rPr>
        <w:rFonts w:ascii="Futura Medium" w:hAnsi="Futura Medium" w:cs="Futura Medium"/>
        <w:b/>
        <w:color w:val="000000"/>
        <w:sz w:val="18"/>
        <w:szCs w:val="18"/>
      </w:rPr>
    </w:pPr>
    <w:r w:rsidRPr="00F53D44">
      <w:rPr>
        <w:rFonts w:ascii="Futura Medium" w:hAnsi="Futura Medium" w:cs="Futura Medium"/>
        <w:b/>
        <w:noProof/>
        <w:color w:val="000000"/>
        <w:sz w:val="18"/>
        <w:szCs w:val="18"/>
        <w:lang w:eastAsia="en-GB"/>
      </w:rPr>
      <w:drawing>
        <wp:inline distT="0" distB="0" distL="0" distR="0">
          <wp:extent cx="52673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F83" w:rsidRDefault="00BB7F83" w:rsidP="00064997">
      <w:r>
        <w:separator/>
      </w:r>
    </w:p>
  </w:footnote>
  <w:footnote w:type="continuationSeparator" w:id="0">
    <w:p w:rsidR="00BB7F83" w:rsidRDefault="00BB7F83" w:rsidP="00064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6B9" w:rsidRPr="00F53D44" w:rsidRDefault="00FB46B9" w:rsidP="00022663">
    <w:pPr>
      <w:jc w:val="both"/>
      <w:rPr>
        <w:rFonts w:ascii="Futura Medium" w:hAnsi="Futura Medium" w:cs="Futura Medium"/>
        <w:color w:val="808080"/>
        <w:sz w:val="18"/>
        <w:szCs w:val="18"/>
      </w:rPr>
    </w:pPr>
    <w:proofErr w:type="gramStart"/>
    <w:r w:rsidRPr="00F53D44">
      <w:rPr>
        <w:rFonts w:ascii="Futura Medium" w:hAnsi="Futura Medium" w:cs="Futura Medium"/>
        <w:b/>
        <w:color w:val="808080"/>
        <w:sz w:val="18"/>
        <w:szCs w:val="18"/>
      </w:rPr>
      <w:t>U!REKA</w:t>
    </w:r>
    <w:proofErr w:type="gramEnd"/>
    <w:r w:rsidRPr="00F53D44">
      <w:rPr>
        <w:rFonts w:ascii="Futura Medium" w:hAnsi="Futura Medium" w:cs="Futura Medium"/>
        <w:b/>
        <w:color w:val="808080"/>
        <w:sz w:val="18"/>
        <w:szCs w:val="18"/>
      </w:rPr>
      <w:t xml:space="preserve"> Edinburgh 2017 </w:t>
    </w:r>
    <w:r w:rsidRPr="00F53D44">
      <w:rPr>
        <w:rFonts w:ascii="Futura Medium" w:hAnsi="Futura Medium" w:cs="Futura Medium"/>
        <w:color w:val="808080"/>
        <w:sz w:val="18"/>
        <w:szCs w:val="18"/>
      </w:rPr>
      <w:t>| Template for Abstract Submission</w:t>
    </w:r>
  </w:p>
  <w:p w:rsidR="00FB46B9" w:rsidRDefault="00FB46B9">
    <w:pPr>
      <w:pStyle w:val="Header"/>
    </w:pPr>
  </w:p>
  <w:p w:rsidR="00FB46B9" w:rsidRPr="00022663" w:rsidRDefault="00FB46B9">
    <w:pPr>
      <w:pStyle w:val="Header"/>
      <w:rPr>
        <w:sz w:val="30"/>
        <w:szCs w:val="3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6B9" w:rsidRDefault="00FB46B9">
    <w:pPr>
      <w:pStyle w:val="Header"/>
    </w:pPr>
  </w:p>
  <w:p w:rsidR="00FB46B9" w:rsidRDefault="00FB4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535F"/>
    <w:multiLevelType w:val="hybridMultilevel"/>
    <w:tmpl w:val="660C6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261BF"/>
    <w:multiLevelType w:val="hybridMultilevel"/>
    <w:tmpl w:val="6D0CC2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F3560"/>
    <w:multiLevelType w:val="hybridMultilevel"/>
    <w:tmpl w:val="E4B21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F41B0"/>
    <w:multiLevelType w:val="hybridMultilevel"/>
    <w:tmpl w:val="5EC4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403E23"/>
    <w:multiLevelType w:val="hybridMultilevel"/>
    <w:tmpl w:val="F63AB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187959"/>
    <w:multiLevelType w:val="hybridMultilevel"/>
    <w:tmpl w:val="4AA4F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366617"/>
    <w:multiLevelType w:val="hybridMultilevel"/>
    <w:tmpl w:val="91B44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4C7FFC"/>
    <w:multiLevelType w:val="hybridMultilevel"/>
    <w:tmpl w:val="6FF0C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874839"/>
    <w:multiLevelType w:val="hybridMultilevel"/>
    <w:tmpl w:val="0F86D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2"/>
  </w:num>
  <w:num w:numId="5">
    <w:abstractNumId w:val="0"/>
  </w:num>
  <w:num w:numId="6">
    <w:abstractNumId w:val="6"/>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D80"/>
    <w:rsid w:val="00020606"/>
    <w:rsid w:val="00022663"/>
    <w:rsid w:val="00042335"/>
    <w:rsid w:val="0004687A"/>
    <w:rsid w:val="0005450F"/>
    <w:rsid w:val="00056A51"/>
    <w:rsid w:val="00064997"/>
    <w:rsid w:val="000E36AB"/>
    <w:rsid w:val="000E643D"/>
    <w:rsid w:val="000F039D"/>
    <w:rsid w:val="000F0D7D"/>
    <w:rsid w:val="00102A5E"/>
    <w:rsid w:val="00106973"/>
    <w:rsid w:val="00106A83"/>
    <w:rsid w:val="00122798"/>
    <w:rsid w:val="00126AC8"/>
    <w:rsid w:val="00141603"/>
    <w:rsid w:val="00147086"/>
    <w:rsid w:val="00147D5B"/>
    <w:rsid w:val="0015632F"/>
    <w:rsid w:val="00160E71"/>
    <w:rsid w:val="0017229D"/>
    <w:rsid w:val="00193268"/>
    <w:rsid w:val="001A53FD"/>
    <w:rsid w:val="001D6807"/>
    <w:rsid w:val="001E7DBD"/>
    <w:rsid w:val="001F49D0"/>
    <w:rsid w:val="001F4D62"/>
    <w:rsid w:val="00213DD9"/>
    <w:rsid w:val="002424F9"/>
    <w:rsid w:val="00263889"/>
    <w:rsid w:val="00272678"/>
    <w:rsid w:val="0028048D"/>
    <w:rsid w:val="00282AC2"/>
    <w:rsid w:val="00302080"/>
    <w:rsid w:val="00312117"/>
    <w:rsid w:val="003447A2"/>
    <w:rsid w:val="00365F86"/>
    <w:rsid w:val="003B5378"/>
    <w:rsid w:val="003C3453"/>
    <w:rsid w:val="003E1E5A"/>
    <w:rsid w:val="003E7AA9"/>
    <w:rsid w:val="003F6273"/>
    <w:rsid w:val="00400228"/>
    <w:rsid w:val="00405EAA"/>
    <w:rsid w:val="0040670B"/>
    <w:rsid w:val="0043358E"/>
    <w:rsid w:val="00440C0F"/>
    <w:rsid w:val="00492C6C"/>
    <w:rsid w:val="004F5D90"/>
    <w:rsid w:val="00502DB4"/>
    <w:rsid w:val="005077FA"/>
    <w:rsid w:val="00526C85"/>
    <w:rsid w:val="00533040"/>
    <w:rsid w:val="0053706D"/>
    <w:rsid w:val="00540D91"/>
    <w:rsid w:val="005447AC"/>
    <w:rsid w:val="0055622D"/>
    <w:rsid w:val="0056647F"/>
    <w:rsid w:val="0057096A"/>
    <w:rsid w:val="00582040"/>
    <w:rsid w:val="005843AA"/>
    <w:rsid w:val="00587CD4"/>
    <w:rsid w:val="00597514"/>
    <w:rsid w:val="005A12B8"/>
    <w:rsid w:val="005A40FC"/>
    <w:rsid w:val="005A58BC"/>
    <w:rsid w:val="005F257F"/>
    <w:rsid w:val="00637C0E"/>
    <w:rsid w:val="00665E13"/>
    <w:rsid w:val="006A2B46"/>
    <w:rsid w:val="006A797E"/>
    <w:rsid w:val="006B2AD7"/>
    <w:rsid w:val="006C782F"/>
    <w:rsid w:val="006D68EA"/>
    <w:rsid w:val="006E4BA7"/>
    <w:rsid w:val="007152C8"/>
    <w:rsid w:val="007170FB"/>
    <w:rsid w:val="007245E5"/>
    <w:rsid w:val="00741A4A"/>
    <w:rsid w:val="0075329A"/>
    <w:rsid w:val="00756C9E"/>
    <w:rsid w:val="007B1B5E"/>
    <w:rsid w:val="007B6189"/>
    <w:rsid w:val="007C59E3"/>
    <w:rsid w:val="00806EBB"/>
    <w:rsid w:val="00824D2F"/>
    <w:rsid w:val="008841DD"/>
    <w:rsid w:val="00885E57"/>
    <w:rsid w:val="008872A1"/>
    <w:rsid w:val="00892743"/>
    <w:rsid w:val="00897ED1"/>
    <w:rsid w:val="008A274E"/>
    <w:rsid w:val="008B60A4"/>
    <w:rsid w:val="008C668A"/>
    <w:rsid w:val="008D52EC"/>
    <w:rsid w:val="008D7C4C"/>
    <w:rsid w:val="009139DC"/>
    <w:rsid w:val="00921371"/>
    <w:rsid w:val="00971865"/>
    <w:rsid w:val="00977375"/>
    <w:rsid w:val="00977D96"/>
    <w:rsid w:val="009818B8"/>
    <w:rsid w:val="00993AA3"/>
    <w:rsid w:val="00994BD3"/>
    <w:rsid w:val="00995149"/>
    <w:rsid w:val="009A4119"/>
    <w:rsid w:val="009B61FF"/>
    <w:rsid w:val="009C06D2"/>
    <w:rsid w:val="009D7BD4"/>
    <w:rsid w:val="009E4753"/>
    <w:rsid w:val="009F3060"/>
    <w:rsid w:val="00A23897"/>
    <w:rsid w:val="00A5474B"/>
    <w:rsid w:val="00A6552F"/>
    <w:rsid w:val="00A70E33"/>
    <w:rsid w:val="00A7368D"/>
    <w:rsid w:val="00A8228F"/>
    <w:rsid w:val="00A965ED"/>
    <w:rsid w:val="00A96D7E"/>
    <w:rsid w:val="00AA5930"/>
    <w:rsid w:val="00B10F05"/>
    <w:rsid w:val="00B5756E"/>
    <w:rsid w:val="00B630A3"/>
    <w:rsid w:val="00B76D7C"/>
    <w:rsid w:val="00B83E74"/>
    <w:rsid w:val="00B97E75"/>
    <w:rsid w:val="00BA7ABA"/>
    <w:rsid w:val="00BB09E7"/>
    <w:rsid w:val="00BB7F83"/>
    <w:rsid w:val="00BE22F5"/>
    <w:rsid w:val="00C11C7F"/>
    <w:rsid w:val="00C17DAF"/>
    <w:rsid w:val="00C206B3"/>
    <w:rsid w:val="00C4468C"/>
    <w:rsid w:val="00C45EB8"/>
    <w:rsid w:val="00C60D80"/>
    <w:rsid w:val="00C77032"/>
    <w:rsid w:val="00C818F7"/>
    <w:rsid w:val="00C846AE"/>
    <w:rsid w:val="00C933B1"/>
    <w:rsid w:val="00D06F92"/>
    <w:rsid w:val="00D22F86"/>
    <w:rsid w:val="00D316D0"/>
    <w:rsid w:val="00D31D3B"/>
    <w:rsid w:val="00DA4AFD"/>
    <w:rsid w:val="00DF3DF2"/>
    <w:rsid w:val="00E043CE"/>
    <w:rsid w:val="00E07089"/>
    <w:rsid w:val="00E172D9"/>
    <w:rsid w:val="00E543D0"/>
    <w:rsid w:val="00E54A2A"/>
    <w:rsid w:val="00E62C37"/>
    <w:rsid w:val="00E75FB9"/>
    <w:rsid w:val="00E9345E"/>
    <w:rsid w:val="00EB03B4"/>
    <w:rsid w:val="00EC4EB8"/>
    <w:rsid w:val="00ED63E7"/>
    <w:rsid w:val="00F10430"/>
    <w:rsid w:val="00F1159B"/>
    <w:rsid w:val="00F2385F"/>
    <w:rsid w:val="00F23F05"/>
    <w:rsid w:val="00F25566"/>
    <w:rsid w:val="00F46344"/>
    <w:rsid w:val="00F53D44"/>
    <w:rsid w:val="00F56EE3"/>
    <w:rsid w:val="00F572A6"/>
    <w:rsid w:val="00F61D5C"/>
    <w:rsid w:val="00F71330"/>
    <w:rsid w:val="00F728FB"/>
    <w:rsid w:val="00FB0CB6"/>
    <w:rsid w:val="00FB46B9"/>
    <w:rsid w:val="00FB6D3B"/>
    <w:rsid w:val="00FC4D2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97D5D65-0F79-4B74-81FA-82070A729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FB46B9"/>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6973"/>
    <w:rPr>
      <w:rFonts w:ascii="Lucida Grande" w:hAnsi="Lucida Grande" w:cs="Lucida Grande"/>
      <w:sz w:val="18"/>
      <w:szCs w:val="18"/>
    </w:rPr>
  </w:style>
  <w:style w:type="character" w:customStyle="1" w:styleId="BalloonTextChar">
    <w:name w:val="Balloon Text Char"/>
    <w:link w:val="BalloonText"/>
    <w:uiPriority w:val="99"/>
    <w:semiHidden/>
    <w:rsid w:val="00106973"/>
    <w:rPr>
      <w:rFonts w:ascii="Lucida Grande" w:hAnsi="Lucida Grande" w:cs="Lucida Grande"/>
      <w:sz w:val="18"/>
      <w:szCs w:val="18"/>
      <w:lang w:val="en-GB"/>
    </w:rPr>
  </w:style>
  <w:style w:type="paragraph" w:styleId="ColorfulList-Accent1">
    <w:name w:val="Colorful List Accent 1"/>
    <w:basedOn w:val="Normal"/>
    <w:uiPriority w:val="34"/>
    <w:qFormat/>
    <w:rsid w:val="00C60D80"/>
    <w:pPr>
      <w:ind w:left="720"/>
      <w:contextualSpacing/>
    </w:pPr>
  </w:style>
  <w:style w:type="character" w:styleId="Hyperlink">
    <w:name w:val="Hyperlink"/>
    <w:uiPriority w:val="99"/>
    <w:unhideWhenUsed/>
    <w:rsid w:val="008841DD"/>
    <w:rPr>
      <w:color w:val="0000FF"/>
      <w:u w:val="single"/>
    </w:rPr>
  </w:style>
  <w:style w:type="paragraph" w:styleId="Header">
    <w:name w:val="header"/>
    <w:basedOn w:val="Normal"/>
    <w:link w:val="HeaderChar"/>
    <w:uiPriority w:val="99"/>
    <w:unhideWhenUsed/>
    <w:rsid w:val="00064997"/>
    <w:pPr>
      <w:tabs>
        <w:tab w:val="center" w:pos="4513"/>
        <w:tab w:val="right" w:pos="9026"/>
      </w:tabs>
    </w:pPr>
  </w:style>
  <w:style w:type="character" w:customStyle="1" w:styleId="HeaderChar">
    <w:name w:val="Header Char"/>
    <w:link w:val="Header"/>
    <w:uiPriority w:val="99"/>
    <w:rsid w:val="00064997"/>
    <w:rPr>
      <w:lang w:val="en-GB"/>
    </w:rPr>
  </w:style>
  <w:style w:type="paragraph" w:styleId="Footer">
    <w:name w:val="footer"/>
    <w:basedOn w:val="Normal"/>
    <w:link w:val="FooterChar"/>
    <w:uiPriority w:val="99"/>
    <w:unhideWhenUsed/>
    <w:rsid w:val="00064997"/>
    <w:pPr>
      <w:tabs>
        <w:tab w:val="center" w:pos="4513"/>
        <w:tab w:val="right" w:pos="9026"/>
      </w:tabs>
    </w:pPr>
  </w:style>
  <w:style w:type="character" w:customStyle="1" w:styleId="FooterChar">
    <w:name w:val="Footer Char"/>
    <w:link w:val="Footer"/>
    <w:uiPriority w:val="99"/>
    <w:rsid w:val="00064997"/>
    <w:rPr>
      <w:lang w:val="en-GB"/>
    </w:rPr>
  </w:style>
  <w:style w:type="table" w:styleId="TableGrid">
    <w:name w:val="Table Grid"/>
    <w:basedOn w:val="TableNormal"/>
    <w:uiPriority w:val="59"/>
    <w:rsid w:val="00A82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23897"/>
  </w:style>
  <w:style w:type="character" w:customStyle="1" w:styleId="FootnoteTextChar">
    <w:name w:val="Footnote Text Char"/>
    <w:link w:val="FootnoteText"/>
    <w:uiPriority w:val="99"/>
    <w:rsid w:val="00A23897"/>
    <w:rPr>
      <w:lang w:val="en-GB"/>
    </w:rPr>
  </w:style>
  <w:style w:type="character" w:styleId="FootnoteReference">
    <w:name w:val="footnote reference"/>
    <w:uiPriority w:val="99"/>
    <w:unhideWhenUsed/>
    <w:rsid w:val="00A238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3021">
      <w:bodyDiv w:val="1"/>
      <w:marLeft w:val="0"/>
      <w:marRight w:val="0"/>
      <w:marTop w:val="0"/>
      <w:marBottom w:val="0"/>
      <w:divBdr>
        <w:top w:val="none" w:sz="0" w:space="0" w:color="auto"/>
        <w:left w:val="none" w:sz="0" w:space="0" w:color="auto"/>
        <w:bottom w:val="none" w:sz="0" w:space="0" w:color="auto"/>
        <w:right w:val="none" w:sz="0" w:space="0" w:color="auto"/>
      </w:divBdr>
      <w:divsChild>
        <w:div w:id="662851047">
          <w:marLeft w:val="0"/>
          <w:marRight w:val="0"/>
          <w:marTop w:val="165"/>
          <w:marBottom w:val="165"/>
          <w:divBdr>
            <w:top w:val="none" w:sz="0" w:space="0" w:color="auto"/>
            <w:left w:val="none" w:sz="0" w:space="0" w:color="auto"/>
            <w:bottom w:val="none" w:sz="0" w:space="0" w:color="auto"/>
            <w:right w:val="none" w:sz="0" w:space="0" w:color="auto"/>
          </w:divBdr>
          <w:divsChild>
            <w:div w:id="1641300260">
              <w:marLeft w:val="0"/>
              <w:marRight w:val="0"/>
              <w:marTop w:val="0"/>
              <w:marBottom w:val="0"/>
              <w:divBdr>
                <w:top w:val="single" w:sz="6" w:space="0" w:color="666666"/>
                <w:left w:val="none" w:sz="0" w:space="0" w:color="666666"/>
                <w:bottom w:val="none" w:sz="0" w:space="0" w:color="666666"/>
                <w:right w:val="none" w:sz="0" w:space="0" w:color="666666"/>
              </w:divBdr>
              <w:divsChild>
                <w:div w:id="862523259">
                  <w:marLeft w:val="0"/>
                  <w:marRight w:val="0"/>
                  <w:marTop w:val="0"/>
                  <w:marBottom w:val="0"/>
                  <w:divBdr>
                    <w:top w:val="none" w:sz="0" w:space="0" w:color="auto"/>
                    <w:left w:val="none" w:sz="0" w:space="0" w:color="auto"/>
                    <w:bottom w:val="none" w:sz="0" w:space="0" w:color="auto"/>
                    <w:right w:val="none" w:sz="0" w:space="0" w:color="auto"/>
                  </w:divBdr>
                  <w:divsChild>
                    <w:div w:id="84320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704183">
          <w:marLeft w:val="0"/>
          <w:marRight w:val="0"/>
          <w:marTop w:val="165"/>
          <w:marBottom w:val="165"/>
          <w:divBdr>
            <w:top w:val="none" w:sz="0" w:space="0" w:color="auto"/>
            <w:left w:val="none" w:sz="0" w:space="0" w:color="auto"/>
            <w:bottom w:val="none" w:sz="0" w:space="0" w:color="auto"/>
            <w:right w:val="none" w:sz="0" w:space="0" w:color="auto"/>
          </w:divBdr>
          <w:divsChild>
            <w:div w:id="320739048">
              <w:marLeft w:val="0"/>
              <w:marRight w:val="0"/>
              <w:marTop w:val="0"/>
              <w:marBottom w:val="0"/>
              <w:divBdr>
                <w:top w:val="single" w:sz="6" w:space="0" w:color="666666"/>
                <w:left w:val="none" w:sz="0" w:space="0" w:color="666666"/>
                <w:bottom w:val="none" w:sz="0" w:space="0" w:color="666666"/>
                <w:right w:val="none" w:sz="0" w:space="0" w:color="666666"/>
              </w:divBdr>
              <w:divsChild>
                <w:div w:id="112808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919827">
      <w:bodyDiv w:val="1"/>
      <w:marLeft w:val="0"/>
      <w:marRight w:val="0"/>
      <w:marTop w:val="0"/>
      <w:marBottom w:val="0"/>
      <w:divBdr>
        <w:top w:val="none" w:sz="0" w:space="0" w:color="auto"/>
        <w:left w:val="none" w:sz="0" w:space="0" w:color="auto"/>
        <w:bottom w:val="none" w:sz="0" w:space="0" w:color="auto"/>
        <w:right w:val="none" w:sz="0" w:space="0" w:color="auto"/>
      </w:divBdr>
    </w:div>
    <w:div w:id="1326202948">
      <w:bodyDiv w:val="1"/>
      <w:marLeft w:val="0"/>
      <w:marRight w:val="0"/>
      <w:marTop w:val="0"/>
      <w:marBottom w:val="0"/>
      <w:divBdr>
        <w:top w:val="none" w:sz="0" w:space="0" w:color="auto"/>
        <w:left w:val="none" w:sz="0" w:space="0" w:color="auto"/>
        <w:bottom w:val="none" w:sz="0" w:space="0" w:color="auto"/>
        <w:right w:val="none" w:sz="0" w:space="0" w:color="auto"/>
      </w:divBdr>
    </w:div>
    <w:div w:id="1587183413">
      <w:bodyDiv w:val="1"/>
      <w:marLeft w:val="0"/>
      <w:marRight w:val="0"/>
      <w:marTop w:val="0"/>
      <w:marBottom w:val="0"/>
      <w:divBdr>
        <w:top w:val="none" w:sz="0" w:space="0" w:color="auto"/>
        <w:left w:val="none" w:sz="0" w:space="0" w:color="auto"/>
        <w:bottom w:val="none" w:sz="0" w:space="0" w:color="auto"/>
        <w:right w:val="none" w:sz="0" w:space="0" w:color="auto"/>
      </w:divBdr>
    </w:div>
    <w:div w:id="1811823499">
      <w:bodyDiv w:val="1"/>
      <w:marLeft w:val="0"/>
      <w:marRight w:val="0"/>
      <w:marTop w:val="0"/>
      <w:marBottom w:val="0"/>
      <w:divBdr>
        <w:top w:val="none" w:sz="0" w:space="0" w:color="auto"/>
        <w:left w:val="none" w:sz="0" w:space="0" w:color="auto"/>
        <w:bottom w:val="none" w:sz="0" w:space="0" w:color="auto"/>
        <w:right w:val="none" w:sz="0" w:space="0" w:color="auto"/>
      </w:divBdr>
    </w:div>
    <w:div w:id="203969891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Deakin</dc:creator>
  <cp:keywords/>
  <dc:description/>
  <cp:lastModifiedBy>Feige, Thomas</cp:lastModifiedBy>
  <cp:revision>3</cp:revision>
  <dcterms:created xsi:type="dcterms:W3CDTF">2017-10-24T16:40:00Z</dcterms:created>
  <dcterms:modified xsi:type="dcterms:W3CDTF">2017-10-24T16:40:00Z</dcterms:modified>
</cp:coreProperties>
</file>